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3FB6E" w14:textId="4A30F9C4" w:rsidR="0079073D" w:rsidRPr="006B0FBA" w:rsidRDefault="006616DA" w:rsidP="00C149F7">
      <w:pPr>
        <w:spacing w:line="480" w:lineRule="auto"/>
        <w:jc w:val="center"/>
        <w:rPr>
          <w:b/>
          <w:sz w:val="30"/>
          <w:szCs w:val="30"/>
        </w:rPr>
      </w:pPr>
      <w:r>
        <w:rPr>
          <w:rFonts w:hint="eastAsia"/>
          <w:b/>
          <w:sz w:val="30"/>
          <w:szCs w:val="30"/>
        </w:rPr>
        <w:t xml:space="preserve"> </w:t>
      </w:r>
      <w:r w:rsidR="007F4053" w:rsidRPr="007F4053">
        <w:rPr>
          <w:b/>
          <w:sz w:val="30"/>
          <w:szCs w:val="30"/>
        </w:rPr>
        <w:t>Experimental study on the extraction of methane hydrate in silica sand by dissolving</w:t>
      </w:r>
    </w:p>
    <w:p w14:paraId="5953E7B5" w14:textId="4EDBF277" w:rsidR="003D31FA" w:rsidRPr="00371D80" w:rsidRDefault="00442C79" w:rsidP="00371D80">
      <w:pPr>
        <w:spacing w:line="480" w:lineRule="auto"/>
        <w:jc w:val="center"/>
        <w:rPr>
          <w:sz w:val="21"/>
          <w:szCs w:val="21"/>
        </w:rPr>
      </w:pPr>
      <w:r w:rsidRPr="00522827">
        <w:rPr>
          <w:sz w:val="21"/>
          <w:szCs w:val="21"/>
        </w:rPr>
        <w:t>L</w:t>
      </w:r>
      <w:r w:rsidRPr="00522827">
        <w:rPr>
          <w:rFonts w:hint="eastAsia"/>
          <w:sz w:val="21"/>
          <w:szCs w:val="21"/>
        </w:rPr>
        <w:t>itao</w:t>
      </w:r>
      <w:r w:rsidR="003D31FA" w:rsidRPr="00522827">
        <w:rPr>
          <w:sz w:val="21"/>
          <w:szCs w:val="21"/>
        </w:rPr>
        <w:t xml:space="preserve"> </w:t>
      </w:r>
      <w:r w:rsidRPr="00522827">
        <w:rPr>
          <w:sz w:val="21"/>
          <w:szCs w:val="21"/>
        </w:rPr>
        <w:t>C</w:t>
      </w:r>
      <w:r w:rsidRPr="00522827">
        <w:rPr>
          <w:rFonts w:hint="eastAsia"/>
          <w:sz w:val="21"/>
          <w:szCs w:val="21"/>
        </w:rPr>
        <w:t>hen</w:t>
      </w:r>
      <w:r w:rsidR="003D31FA" w:rsidRPr="006E74D5">
        <w:rPr>
          <w:sz w:val="21"/>
          <w:szCs w:val="21"/>
          <w:vertAlign w:val="superscript"/>
        </w:rPr>
        <w:t>1</w:t>
      </w:r>
      <w:r w:rsidR="003D31FA" w:rsidRPr="006E74D5">
        <w:rPr>
          <w:sz w:val="21"/>
          <w:szCs w:val="21"/>
        </w:rPr>
        <w:t xml:space="preserve">, </w:t>
      </w:r>
      <w:r>
        <w:rPr>
          <w:sz w:val="21"/>
          <w:szCs w:val="21"/>
        </w:rPr>
        <w:t>B</w:t>
      </w:r>
      <w:r>
        <w:rPr>
          <w:rFonts w:hint="eastAsia"/>
          <w:sz w:val="21"/>
          <w:szCs w:val="21"/>
        </w:rPr>
        <w:t>aojiang</w:t>
      </w:r>
      <w:r w:rsidR="003D31FA" w:rsidRPr="006E74D5">
        <w:rPr>
          <w:sz w:val="21"/>
          <w:szCs w:val="21"/>
        </w:rPr>
        <w:t xml:space="preserve"> </w:t>
      </w:r>
      <w:r>
        <w:rPr>
          <w:sz w:val="21"/>
          <w:szCs w:val="21"/>
        </w:rPr>
        <w:t>S</w:t>
      </w:r>
      <w:r>
        <w:rPr>
          <w:rFonts w:hint="eastAsia"/>
          <w:sz w:val="21"/>
          <w:szCs w:val="21"/>
        </w:rPr>
        <w:t>un</w:t>
      </w:r>
      <w:r w:rsidR="003D31FA" w:rsidRPr="006E74D5">
        <w:rPr>
          <w:sz w:val="21"/>
          <w:szCs w:val="21"/>
          <w:vertAlign w:val="superscript"/>
        </w:rPr>
        <w:t>1</w:t>
      </w:r>
      <w:r w:rsidR="00F920C0" w:rsidRPr="006E74D5">
        <w:rPr>
          <w:rStyle w:val="ab"/>
          <w:sz w:val="21"/>
          <w:szCs w:val="21"/>
        </w:rPr>
        <w:footnoteReference w:customMarkFollows="1" w:id="1"/>
        <w:t>*</w:t>
      </w:r>
      <w:r w:rsidR="000A759A">
        <w:rPr>
          <w:sz w:val="21"/>
          <w:szCs w:val="21"/>
        </w:rPr>
        <w:t>, Ningtao</w:t>
      </w:r>
      <w:r w:rsidR="000A759A" w:rsidRPr="006E74D5">
        <w:rPr>
          <w:sz w:val="21"/>
          <w:szCs w:val="21"/>
        </w:rPr>
        <w:t xml:space="preserve"> </w:t>
      </w:r>
      <w:r w:rsidR="000A759A">
        <w:rPr>
          <w:sz w:val="21"/>
          <w:szCs w:val="21"/>
        </w:rPr>
        <w:t>Zhang</w:t>
      </w:r>
      <w:r w:rsidR="000A759A" w:rsidRPr="006E74D5">
        <w:rPr>
          <w:sz w:val="21"/>
          <w:szCs w:val="21"/>
          <w:vertAlign w:val="superscript"/>
        </w:rPr>
        <w:t>1</w:t>
      </w:r>
      <w:r w:rsidR="000A759A">
        <w:rPr>
          <w:sz w:val="21"/>
          <w:szCs w:val="21"/>
        </w:rPr>
        <w:t>,</w:t>
      </w:r>
      <w:r w:rsidR="000A759A" w:rsidRPr="000A759A">
        <w:rPr>
          <w:sz w:val="21"/>
          <w:szCs w:val="21"/>
        </w:rPr>
        <w:t xml:space="preserve"> </w:t>
      </w:r>
      <w:r w:rsidR="000A759A">
        <w:rPr>
          <w:sz w:val="21"/>
          <w:szCs w:val="21"/>
        </w:rPr>
        <w:t>Wantian</w:t>
      </w:r>
      <w:r w:rsidR="000A759A" w:rsidRPr="006E74D5">
        <w:rPr>
          <w:sz w:val="21"/>
          <w:szCs w:val="21"/>
        </w:rPr>
        <w:t xml:space="preserve"> </w:t>
      </w:r>
      <w:r w:rsidR="000A759A">
        <w:rPr>
          <w:sz w:val="21"/>
          <w:szCs w:val="21"/>
        </w:rPr>
        <w:t>Zhou</w:t>
      </w:r>
      <w:r w:rsidR="000A759A" w:rsidRPr="006E74D5">
        <w:rPr>
          <w:sz w:val="21"/>
          <w:szCs w:val="21"/>
          <w:vertAlign w:val="superscript"/>
        </w:rPr>
        <w:t>1</w:t>
      </w:r>
      <w:r w:rsidR="000A759A">
        <w:rPr>
          <w:sz w:val="21"/>
          <w:szCs w:val="21"/>
        </w:rPr>
        <w:t>,</w:t>
      </w:r>
      <w:r w:rsidR="000A759A" w:rsidRPr="000A759A">
        <w:rPr>
          <w:sz w:val="21"/>
          <w:szCs w:val="21"/>
        </w:rPr>
        <w:t xml:space="preserve"> </w:t>
      </w:r>
      <w:r w:rsidR="000A759A">
        <w:rPr>
          <w:sz w:val="21"/>
          <w:szCs w:val="21"/>
        </w:rPr>
        <w:t>Haotian</w:t>
      </w:r>
      <w:r w:rsidR="000A759A" w:rsidRPr="006E74D5">
        <w:rPr>
          <w:sz w:val="21"/>
          <w:szCs w:val="21"/>
        </w:rPr>
        <w:t xml:space="preserve"> </w:t>
      </w:r>
      <w:r w:rsidR="000A759A">
        <w:rPr>
          <w:sz w:val="21"/>
          <w:szCs w:val="21"/>
        </w:rPr>
        <w:t>Wang</w:t>
      </w:r>
      <w:r w:rsidR="000A759A" w:rsidRPr="006E74D5">
        <w:rPr>
          <w:sz w:val="21"/>
          <w:szCs w:val="21"/>
          <w:vertAlign w:val="superscript"/>
        </w:rPr>
        <w:t>1</w:t>
      </w:r>
      <w:r w:rsidR="000A759A">
        <w:rPr>
          <w:sz w:val="21"/>
          <w:szCs w:val="21"/>
        </w:rPr>
        <w:t>, Ye</w:t>
      </w:r>
      <w:r w:rsidR="000A759A" w:rsidRPr="006E74D5">
        <w:rPr>
          <w:sz w:val="21"/>
          <w:szCs w:val="21"/>
        </w:rPr>
        <w:t xml:space="preserve"> </w:t>
      </w:r>
      <w:r w:rsidR="000A759A">
        <w:rPr>
          <w:sz w:val="21"/>
          <w:szCs w:val="21"/>
        </w:rPr>
        <w:t>Chen</w:t>
      </w:r>
      <w:r w:rsidR="000A759A" w:rsidRPr="006E74D5">
        <w:rPr>
          <w:sz w:val="21"/>
          <w:szCs w:val="21"/>
          <w:vertAlign w:val="superscript"/>
        </w:rPr>
        <w:t>1</w:t>
      </w:r>
      <w:r w:rsidR="000A759A">
        <w:rPr>
          <w:sz w:val="21"/>
          <w:szCs w:val="21"/>
        </w:rPr>
        <w:t xml:space="preserve">, </w:t>
      </w:r>
      <w:r w:rsidR="00371D80">
        <w:rPr>
          <w:sz w:val="21"/>
          <w:szCs w:val="21"/>
        </w:rPr>
        <w:t>Hailong</w:t>
      </w:r>
      <w:r w:rsidR="00371D80" w:rsidRPr="006E74D5">
        <w:rPr>
          <w:sz w:val="21"/>
          <w:szCs w:val="21"/>
        </w:rPr>
        <w:t xml:space="preserve"> </w:t>
      </w:r>
      <w:r w:rsidR="00371D80">
        <w:rPr>
          <w:sz w:val="21"/>
          <w:szCs w:val="21"/>
        </w:rPr>
        <w:t>Lu</w:t>
      </w:r>
      <w:r w:rsidR="00371D80">
        <w:rPr>
          <w:sz w:val="21"/>
          <w:szCs w:val="21"/>
          <w:vertAlign w:val="superscript"/>
        </w:rPr>
        <w:t>2</w:t>
      </w:r>
      <w:r w:rsidR="00371D80" w:rsidRPr="006E74D5">
        <w:rPr>
          <w:rStyle w:val="ab"/>
          <w:sz w:val="21"/>
          <w:szCs w:val="21"/>
        </w:rPr>
        <w:footnoteReference w:customMarkFollows="1" w:id="2"/>
        <w:t>*</w:t>
      </w:r>
    </w:p>
    <w:p w14:paraId="7F5079DC" w14:textId="5941661F" w:rsidR="006B0FBA" w:rsidRDefault="003D31FA" w:rsidP="00235647">
      <w:pPr>
        <w:jc w:val="center"/>
        <w:rPr>
          <w:sz w:val="21"/>
          <w:szCs w:val="21"/>
        </w:rPr>
      </w:pPr>
      <w:r w:rsidRPr="006E74D5">
        <w:rPr>
          <w:sz w:val="21"/>
          <w:szCs w:val="21"/>
          <w:vertAlign w:val="superscript"/>
        </w:rPr>
        <w:t>1</w:t>
      </w:r>
      <w:r w:rsidRPr="006E74D5">
        <w:rPr>
          <w:sz w:val="21"/>
          <w:szCs w:val="21"/>
        </w:rPr>
        <w:t xml:space="preserve"> </w:t>
      </w:r>
      <w:r w:rsidR="00442C79" w:rsidRPr="00442C79">
        <w:rPr>
          <w:sz w:val="21"/>
          <w:szCs w:val="21"/>
        </w:rPr>
        <w:t>Key Laboratory of Unconventional Oil and Gas Development, Ministry of Education</w:t>
      </w:r>
      <w:r w:rsidRPr="006E74D5">
        <w:rPr>
          <w:sz w:val="21"/>
          <w:szCs w:val="21"/>
        </w:rPr>
        <w:t>, China University of Petroleum (East China), Qingdao 266580, China</w:t>
      </w:r>
    </w:p>
    <w:p w14:paraId="38471394" w14:textId="20944F23" w:rsidR="00457313" w:rsidRPr="00457313" w:rsidRDefault="00371D80" w:rsidP="00235647">
      <w:pPr>
        <w:jc w:val="center"/>
        <w:rPr>
          <w:sz w:val="21"/>
          <w:szCs w:val="21"/>
        </w:rPr>
      </w:pPr>
      <w:r>
        <w:rPr>
          <w:sz w:val="21"/>
          <w:szCs w:val="21"/>
          <w:vertAlign w:val="superscript"/>
        </w:rPr>
        <w:t>2</w:t>
      </w:r>
      <w:r w:rsidRPr="006E74D5">
        <w:rPr>
          <w:sz w:val="21"/>
          <w:szCs w:val="21"/>
        </w:rPr>
        <w:t xml:space="preserve"> </w:t>
      </w:r>
      <w:r w:rsidRPr="00371D80">
        <w:rPr>
          <w:sz w:val="21"/>
          <w:szCs w:val="21"/>
        </w:rPr>
        <w:t>School of Engineering, Peking University, Beijing</w:t>
      </w:r>
      <w:r w:rsidRPr="006E74D5">
        <w:rPr>
          <w:sz w:val="21"/>
          <w:szCs w:val="21"/>
        </w:rPr>
        <w:t xml:space="preserve"> </w:t>
      </w:r>
      <w:r w:rsidRPr="00371D80">
        <w:rPr>
          <w:sz w:val="21"/>
          <w:szCs w:val="21"/>
        </w:rPr>
        <w:t>100871</w:t>
      </w:r>
      <w:r w:rsidRPr="006E74D5">
        <w:rPr>
          <w:sz w:val="21"/>
          <w:szCs w:val="21"/>
        </w:rPr>
        <w:t>, China</w:t>
      </w:r>
    </w:p>
    <w:p w14:paraId="4813F099" w14:textId="77777777" w:rsidR="00457313" w:rsidRDefault="00457313" w:rsidP="00442C79">
      <w:pPr>
        <w:spacing w:line="420" w:lineRule="exact"/>
        <w:rPr>
          <w:b/>
          <w:szCs w:val="24"/>
        </w:rPr>
      </w:pPr>
    </w:p>
    <w:p w14:paraId="73E14526" w14:textId="214751A5" w:rsidR="00ED52E7" w:rsidRDefault="00ED52E7" w:rsidP="00442C79">
      <w:pPr>
        <w:spacing w:line="420" w:lineRule="exact"/>
        <w:rPr>
          <w:b/>
          <w:szCs w:val="24"/>
        </w:rPr>
        <w:sectPr w:rsidR="00ED52E7" w:rsidSect="004623B6">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993" w:header="340" w:footer="567" w:gutter="0"/>
          <w:pgNumType w:start="1"/>
          <w:cols w:space="425"/>
          <w:docGrid w:type="lines" w:linePitch="326"/>
        </w:sectPr>
      </w:pPr>
    </w:p>
    <w:p w14:paraId="21536BE6" w14:textId="6729C2CC" w:rsidR="00734558" w:rsidRPr="00610F6C" w:rsidRDefault="00A8074C" w:rsidP="00FE18FC">
      <w:pPr>
        <w:spacing w:line="380" w:lineRule="exact"/>
        <w:rPr>
          <w:b/>
          <w:sz w:val="20"/>
          <w:szCs w:val="20"/>
        </w:rPr>
      </w:pPr>
      <w:r w:rsidRPr="001C7204">
        <w:rPr>
          <w:rFonts w:hint="eastAsia"/>
          <w:b/>
          <w:szCs w:val="24"/>
        </w:rPr>
        <w:t>A</w:t>
      </w:r>
      <w:r w:rsidRPr="001C7204">
        <w:rPr>
          <w:b/>
          <w:szCs w:val="24"/>
        </w:rPr>
        <w:t>bstract:</w:t>
      </w:r>
      <w:r w:rsidR="00610F6C">
        <w:rPr>
          <w:rFonts w:hint="eastAsia"/>
          <w:b/>
          <w:sz w:val="20"/>
          <w:szCs w:val="20"/>
        </w:rPr>
        <w:t xml:space="preserve"> </w:t>
      </w:r>
      <w:r w:rsidR="0010476F" w:rsidRPr="0010476F">
        <w:rPr>
          <w:sz w:val="20"/>
          <w:szCs w:val="20"/>
        </w:rPr>
        <w:t xml:space="preserve">Natural gas hydrate (NGH) is a type of ice-like compounds formed by natural gas and water at low temperatures and high pressures. As estimated and partially revealed by worldwide geological survey, NGH widely distributes in the sediments of seafloor and permafrost zones. NGH has gained wide attention and become research hotspot due to its potential as an energy reserve. Among the resources, NGH in the shallow layer or directly exposed on the seafloor has been widely discovered, and its formation process and stability law are still unclear. In order to reveal its stability law, the dissolving process of methane hydrate in quartz sand was experimentally studied. The dissolving efficiencies of methane hydrate in silica sand have been studied by injecting water and oil, respectively. The results show that both water and mineral oil can effectively dissolve methane hydrate in quartz sand, with the gas-to-liquid volume ratio about 2 for water injection and about 10 for oil injection. The cumulative gas production of water dissolving generally increases logarithmically with time, and the gas production rate fluctuates greatly, but it decreases gradually as a whole, and the gas-liquid ratio is stable at first and then decreases gradually; the cumulative gas production of oil dissolving generally increases in S shape with time, and the gas-liquid ratio increases first and then decreases gradually. At the same </w:t>
      </w:r>
      <w:r w:rsidR="0010476F" w:rsidRPr="0010476F">
        <w:rPr>
          <w:sz w:val="20"/>
          <w:szCs w:val="20"/>
        </w:rPr>
        <w:t>injection rate, the gas production rate and gas-liquid ratio of oil dissolving are significantly higher than those of water dissolution. The dissolving rate of hydrate is mainly affected by the type of dissolving medium (water or oil, in this work) and the contact status between dissolving medium and hydrate. Water and oil are easily channeled into quartz sand, forming a dominant seepage channel. The gas-to-liquid ratio decreases when water/oil forms dominant seepage channel. The results provide theoretical basis for stability studies of NGH in the shallow layer or directly exposed on the seafloor. It seems feasible in principle to exploit gas hydrate in the shallow layer or exposed to the sea floor by dissolving. It is suggested that systematic experimental and numerical simulation studies should be continued in the future.</w:t>
      </w:r>
    </w:p>
    <w:p w14:paraId="12BD163D" w14:textId="0DCBDE3C" w:rsidR="005669B5" w:rsidRPr="006B0FBA" w:rsidRDefault="005669B5" w:rsidP="00FE18FC">
      <w:pPr>
        <w:spacing w:line="380" w:lineRule="exact"/>
        <w:rPr>
          <w:sz w:val="20"/>
          <w:szCs w:val="20"/>
        </w:rPr>
      </w:pPr>
      <w:r w:rsidRPr="006B0FBA">
        <w:rPr>
          <w:b/>
          <w:sz w:val="20"/>
          <w:szCs w:val="20"/>
        </w:rPr>
        <w:t>Keywords:</w:t>
      </w:r>
      <w:r w:rsidR="00442C79" w:rsidRPr="00442C79">
        <w:t xml:space="preserve"> </w:t>
      </w:r>
      <w:r w:rsidR="0010476F" w:rsidRPr="0010476F">
        <w:rPr>
          <w:sz w:val="20"/>
          <w:szCs w:val="20"/>
        </w:rPr>
        <w:t>methane; hydrate; dissolving; silica sand; experiment</w:t>
      </w:r>
    </w:p>
    <w:p w14:paraId="4DC6689D" w14:textId="061D3C7E" w:rsidR="00A8074C" w:rsidRPr="008A633B" w:rsidRDefault="00A8074C" w:rsidP="00FE18FC">
      <w:pPr>
        <w:spacing w:line="380" w:lineRule="exact"/>
        <w:rPr>
          <w:b/>
          <w:szCs w:val="24"/>
        </w:rPr>
      </w:pPr>
      <w:r w:rsidRPr="008A633B">
        <w:rPr>
          <w:b/>
          <w:szCs w:val="24"/>
        </w:rPr>
        <w:t xml:space="preserve">1. </w:t>
      </w:r>
      <w:r w:rsidRPr="008A633B">
        <w:rPr>
          <w:rFonts w:hint="eastAsia"/>
          <w:b/>
          <w:szCs w:val="24"/>
        </w:rPr>
        <w:t>I</w:t>
      </w:r>
      <w:r w:rsidRPr="008A633B">
        <w:rPr>
          <w:b/>
          <w:szCs w:val="24"/>
        </w:rPr>
        <w:t>ntroduction</w:t>
      </w:r>
    </w:p>
    <w:p w14:paraId="39A27641" w14:textId="1439B049" w:rsidR="00EA3AAF" w:rsidRDefault="00371D80" w:rsidP="00FE18FC">
      <w:pPr>
        <w:spacing w:line="380" w:lineRule="exact"/>
        <w:ind w:firstLineChars="200" w:firstLine="400"/>
        <w:rPr>
          <w:sz w:val="20"/>
          <w:szCs w:val="20"/>
        </w:rPr>
      </w:pPr>
      <w:r w:rsidRPr="00371D80">
        <w:rPr>
          <w:sz w:val="20"/>
          <w:szCs w:val="20"/>
        </w:rPr>
        <w:t>The world energy structure is shifting to low-carbon, and the proportion of natural gas in global energy consumption is increasing year by year. It is predicted that natural gas will surpass coal and oil and become the single-type fossil energy with the highest proportion after 2030</w:t>
      </w:r>
      <w:r w:rsidRPr="003879E5">
        <w:rPr>
          <w:sz w:val="20"/>
          <w:szCs w:val="20"/>
          <w:vertAlign w:val="superscript"/>
        </w:rPr>
        <w:t>[1]</w:t>
      </w:r>
      <w:r w:rsidRPr="00371D80">
        <w:rPr>
          <w:sz w:val="20"/>
          <w:szCs w:val="20"/>
        </w:rPr>
        <w:t xml:space="preserve">. Natural gas hydrate (combustible ice) is an ice-like substance formed by natural gas and water under low temperature and high </w:t>
      </w:r>
      <w:r w:rsidRPr="00371D80">
        <w:rPr>
          <w:sz w:val="20"/>
          <w:szCs w:val="20"/>
        </w:rPr>
        <w:lastRenderedPageBreak/>
        <w:t>pressure conditions</w:t>
      </w:r>
      <w:r w:rsidRPr="003879E5">
        <w:rPr>
          <w:sz w:val="20"/>
          <w:szCs w:val="20"/>
          <w:vertAlign w:val="superscript"/>
        </w:rPr>
        <w:t>[2]</w:t>
      </w:r>
      <w:r w:rsidRPr="00371D80">
        <w:rPr>
          <w:sz w:val="20"/>
          <w:szCs w:val="20"/>
        </w:rPr>
        <w:t>. It is widely distributed in nature and is an unconventional natural gas resource</w:t>
      </w:r>
      <w:r w:rsidRPr="003879E5">
        <w:rPr>
          <w:sz w:val="20"/>
          <w:szCs w:val="20"/>
          <w:vertAlign w:val="superscript"/>
        </w:rPr>
        <w:t>[3]</w:t>
      </w:r>
      <w:r w:rsidRPr="00371D80">
        <w:rPr>
          <w:sz w:val="20"/>
          <w:szCs w:val="20"/>
        </w:rPr>
        <w:t>. According to preliminary estimates, it is generally believed that the natural gas resource in the global natural gas hydrate is about 2×1016 m (standard condition), and its carbon equivalent is about twice the sum of 3 conventional fossil energy. The resource is huge, and it is expected to become a replacement energy in the future</w:t>
      </w:r>
      <w:r w:rsidRPr="003879E5">
        <w:rPr>
          <w:sz w:val="20"/>
          <w:szCs w:val="20"/>
          <w:vertAlign w:val="superscript"/>
        </w:rPr>
        <w:t>[4]</w:t>
      </w:r>
      <w:r w:rsidRPr="00371D80">
        <w:rPr>
          <w:sz w:val="20"/>
          <w:szCs w:val="20"/>
        </w:rPr>
        <w:t>. The global natural gas hydrate resources are mainly distributed in the sediments of continental slopes and permafrost in the sea area, of which the sea area natural gas hydrate accounts for about 98%</w:t>
      </w:r>
      <w:r w:rsidRPr="003879E5">
        <w:rPr>
          <w:sz w:val="20"/>
          <w:szCs w:val="20"/>
          <w:vertAlign w:val="superscript"/>
        </w:rPr>
        <w:t>[5]</w:t>
      </w:r>
      <w:r w:rsidRPr="00371D80">
        <w:rPr>
          <w:sz w:val="20"/>
          <w:szCs w:val="20"/>
        </w:rPr>
        <w:t>. Therefore, the exploration and development of marine gas hydrates are highly valued by countries all over the world.</w:t>
      </w:r>
    </w:p>
    <w:p w14:paraId="042C969F" w14:textId="62E8F6CB" w:rsidR="00DD5365" w:rsidRPr="006B0FBA" w:rsidRDefault="00DD5365" w:rsidP="00FE18FC">
      <w:pPr>
        <w:spacing w:line="380" w:lineRule="exact"/>
        <w:ind w:firstLineChars="200" w:firstLine="400"/>
        <w:rPr>
          <w:sz w:val="20"/>
          <w:szCs w:val="20"/>
        </w:rPr>
      </w:pPr>
      <w:r>
        <w:rPr>
          <w:sz w:val="20"/>
          <w:szCs w:val="20"/>
        </w:rPr>
        <w:t>……</w:t>
      </w:r>
    </w:p>
    <w:p w14:paraId="3D6BA073" w14:textId="77777777" w:rsidR="003D023A" w:rsidRPr="008A633B" w:rsidRDefault="003D023A" w:rsidP="00FE18FC">
      <w:pPr>
        <w:spacing w:line="380" w:lineRule="exact"/>
        <w:rPr>
          <w:b/>
          <w:szCs w:val="24"/>
        </w:rPr>
      </w:pPr>
      <w:r w:rsidRPr="008A633B">
        <w:rPr>
          <w:rFonts w:hint="eastAsia"/>
          <w:b/>
          <w:szCs w:val="24"/>
        </w:rPr>
        <w:t>2.</w:t>
      </w:r>
      <w:r w:rsidRPr="008A633B">
        <w:rPr>
          <w:b/>
          <w:szCs w:val="24"/>
        </w:rPr>
        <w:t xml:space="preserve"> Experimental section</w:t>
      </w:r>
    </w:p>
    <w:p w14:paraId="64F7255B" w14:textId="77777777" w:rsidR="003D023A" w:rsidRPr="008A633B" w:rsidRDefault="003D023A" w:rsidP="00FE18FC">
      <w:pPr>
        <w:spacing w:line="380" w:lineRule="exact"/>
        <w:rPr>
          <w:b/>
          <w:sz w:val="22"/>
        </w:rPr>
      </w:pPr>
      <w:r w:rsidRPr="008A633B">
        <w:rPr>
          <w:rFonts w:hint="eastAsia"/>
          <w:b/>
          <w:sz w:val="22"/>
        </w:rPr>
        <w:t>2</w:t>
      </w:r>
      <w:r w:rsidRPr="008A633B">
        <w:rPr>
          <w:b/>
          <w:sz w:val="22"/>
        </w:rPr>
        <w:t>.1. Materials</w:t>
      </w:r>
    </w:p>
    <w:p w14:paraId="4049F676" w14:textId="6F59357A" w:rsidR="003879E5" w:rsidRDefault="003879E5" w:rsidP="00FE18FC">
      <w:pPr>
        <w:spacing w:line="380" w:lineRule="exact"/>
        <w:ind w:firstLineChars="200" w:firstLine="400"/>
        <w:rPr>
          <w:sz w:val="20"/>
          <w:szCs w:val="20"/>
        </w:rPr>
      </w:pPr>
      <w:r w:rsidRPr="003879E5">
        <w:rPr>
          <w:sz w:val="20"/>
          <w:szCs w:val="20"/>
        </w:rPr>
        <w:t>The materials and reagents used in the experiment are shown in Table 1.</w:t>
      </w:r>
    </w:p>
    <w:p w14:paraId="3BB589A8" w14:textId="5241C5B1" w:rsidR="003D023A" w:rsidRPr="008A633B" w:rsidRDefault="003D023A" w:rsidP="00FE18FC">
      <w:pPr>
        <w:spacing w:line="380" w:lineRule="exact"/>
        <w:rPr>
          <w:b/>
          <w:sz w:val="22"/>
        </w:rPr>
      </w:pPr>
      <w:r w:rsidRPr="008A633B">
        <w:rPr>
          <w:rFonts w:hint="eastAsia"/>
          <w:b/>
          <w:sz w:val="22"/>
        </w:rPr>
        <w:t>2</w:t>
      </w:r>
      <w:r w:rsidRPr="008A633B">
        <w:rPr>
          <w:b/>
          <w:sz w:val="22"/>
        </w:rPr>
        <w:t>.2. Apparatus</w:t>
      </w:r>
    </w:p>
    <w:p w14:paraId="3E6EBBB0" w14:textId="733B8485" w:rsidR="003D023A" w:rsidRDefault="003879E5" w:rsidP="00FE18FC">
      <w:pPr>
        <w:spacing w:line="380" w:lineRule="exact"/>
        <w:ind w:firstLineChars="200" w:firstLine="400"/>
        <w:rPr>
          <w:rFonts w:cs="Times New Roman"/>
          <w:sz w:val="20"/>
          <w:szCs w:val="20"/>
        </w:rPr>
      </w:pPr>
      <w:r w:rsidRPr="003879E5">
        <w:rPr>
          <w:rFonts w:cs="Times New Roman"/>
          <w:sz w:val="20"/>
          <w:szCs w:val="20"/>
        </w:rPr>
        <w:t xml:space="preserve">The composition of the experimental system is shown in Figure 3. The system is mainly composed of a sand filling </w:t>
      </w:r>
      <w:r w:rsidR="00DD5365" w:rsidRPr="003879E5">
        <w:rPr>
          <w:rFonts w:cs="Times New Roman"/>
          <w:sz w:val="20"/>
          <w:szCs w:val="20"/>
        </w:rPr>
        <w:t>reactor, a constant speed and constant pressure pump, a back pressure valve and a gas-liquid recovery measuring device, etc.</w:t>
      </w:r>
      <w:r w:rsidR="00DD5365">
        <w:rPr>
          <w:rFonts w:cs="Times New Roman"/>
          <w:sz w:val="20"/>
          <w:szCs w:val="20"/>
        </w:rPr>
        <w:t xml:space="preserve"> </w:t>
      </w:r>
      <w:r w:rsidRPr="003879E5">
        <w:rPr>
          <w:rFonts w:cs="Times New Roman"/>
          <w:sz w:val="20"/>
          <w:szCs w:val="20"/>
        </w:rPr>
        <w:t xml:space="preserve">It can be used for the formation and dissolution experiment of gas hydrate in quartz sand. The maximum working pressure is 20 MPa and the working temperature is -5~30℃. The size of the sample tube in the sand filling reactor is Φ22 mm×320mm. The inlet end is connected to the liquid and gas supply pipelines, and the outlet end is provided with a layer of 600 mesh (0.02 mm) sand control net, which is connected to the back pressure valve and the gas-liquid recovery measuring device. The maximum flow rate of the constant-speed and constant-pressure pump is 25 ml/min, and the maximum pump pressure is 20 MPa. Two modes of constant flow or constant </w:t>
      </w:r>
      <w:r w:rsidRPr="003879E5">
        <w:rPr>
          <w:rFonts w:cs="Times New Roman"/>
          <w:sz w:val="20"/>
          <w:szCs w:val="20"/>
        </w:rPr>
        <w:t>pressure can be selected as required. Pre-cool the injected liquid with the coil and the ice-water mixture.</w:t>
      </w:r>
    </w:p>
    <w:p w14:paraId="6B6A911A" w14:textId="00CA15C8" w:rsidR="00FD0B89" w:rsidRDefault="00FD0B89" w:rsidP="00FE18FC">
      <w:pPr>
        <w:spacing w:line="380" w:lineRule="exact"/>
        <w:rPr>
          <w:b/>
          <w:sz w:val="22"/>
        </w:rPr>
      </w:pPr>
      <w:r w:rsidRPr="008A633B">
        <w:rPr>
          <w:rFonts w:hint="eastAsia"/>
          <w:b/>
          <w:sz w:val="22"/>
        </w:rPr>
        <w:t>2</w:t>
      </w:r>
      <w:r w:rsidRPr="008A633B">
        <w:rPr>
          <w:b/>
          <w:sz w:val="22"/>
        </w:rPr>
        <w:t xml:space="preserve">.3. </w:t>
      </w:r>
      <w:r w:rsidRPr="00FD0B89">
        <w:rPr>
          <w:b/>
          <w:sz w:val="22"/>
        </w:rPr>
        <w:t>Experimental steps</w:t>
      </w:r>
    </w:p>
    <w:p w14:paraId="105A8FDC" w14:textId="741BE6A3" w:rsidR="00457313" w:rsidRDefault="00457313" w:rsidP="00FE18FC">
      <w:pPr>
        <w:spacing w:line="380" w:lineRule="exact"/>
        <w:ind w:firstLineChars="200" w:firstLine="400"/>
        <w:rPr>
          <w:rFonts w:cs="Times New Roman"/>
          <w:sz w:val="20"/>
          <w:szCs w:val="20"/>
        </w:rPr>
      </w:pPr>
      <w:r w:rsidRPr="00457313">
        <w:rPr>
          <w:rFonts w:cs="Times New Roman"/>
          <w:sz w:val="20"/>
          <w:szCs w:val="20"/>
        </w:rPr>
        <w:t>The experiment is divided into two parts: formation and dissolution. The hydrate is formed first, and then the dissolution experiment is carried out. Generating an experiment includes the following steps:</w:t>
      </w:r>
    </w:p>
    <w:p w14:paraId="45DD5533" w14:textId="3BC33A60" w:rsidR="00457313" w:rsidRDefault="00457313" w:rsidP="00FE18FC">
      <w:pPr>
        <w:spacing w:line="380" w:lineRule="exact"/>
        <w:ind w:firstLineChars="200" w:firstLine="400"/>
        <w:rPr>
          <w:sz w:val="20"/>
          <w:szCs w:val="20"/>
        </w:rPr>
      </w:pPr>
      <w:r w:rsidRPr="00FD0B89">
        <w:rPr>
          <w:sz w:val="20"/>
          <w:szCs w:val="20"/>
        </w:rPr>
        <w:t>(1) Use deionized water to clean the reaction vessel (including sample tube) and quartz sand 3 times, dry it, fill the sample tube (V = 106 ml) with quartz sand, seal it, and check the air tightness;</w:t>
      </w:r>
    </w:p>
    <w:p w14:paraId="2638A70F" w14:textId="3B67C441" w:rsidR="003879E5" w:rsidRDefault="00DD5365" w:rsidP="00FE18FC">
      <w:pPr>
        <w:spacing w:line="380" w:lineRule="exact"/>
        <w:ind w:firstLineChars="200" w:firstLine="400"/>
        <w:rPr>
          <w:sz w:val="20"/>
          <w:szCs w:val="20"/>
        </w:rPr>
      </w:pPr>
      <w:r>
        <w:rPr>
          <w:sz w:val="20"/>
          <w:szCs w:val="20"/>
        </w:rPr>
        <w:t>..</w:t>
      </w:r>
      <w:r w:rsidR="00457313">
        <w:rPr>
          <w:sz w:val="20"/>
          <w:szCs w:val="20"/>
        </w:rPr>
        <w:t>….</w:t>
      </w:r>
    </w:p>
    <w:p w14:paraId="33AACB0C" w14:textId="17F37F56" w:rsidR="00E72896" w:rsidRDefault="00DD5365" w:rsidP="00E72896">
      <w:pPr>
        <w:spacing w:line="380" w:lineRule="exact"/>
        <w:ind w:firstLineChars="200" w:firstLine="400"/>
        <w:rPr>
          <w:sz w:val="20"/>
          <w:szCs w:val="20"/>
        </w:rPr>
      </w:pPr>
      <w:r w:rsidRPr="00DD5365">
        <w:rPr>
          <w:sz w:val="20"/>
          <w:szCs w:val="20"/>
        </w:rPr>
        <w:t>Using the above steps, all gases can be converted into hydrates, and hydrate samples without free gas can be prepared. The pressure of injected methane is calculated by formula (</w:t>
      </w:r>
      <w:r>
        <w:rPr>
          <w:sz w:val="20"/>
          <w:szCs w:val="20"/>
        </w:rPr>
        <w:t>1</w:t>
      </w:r>
      <w:r w:rsidRPr="00DD5365">
        <w:rPr>
          <w:sz w:val="20"/>
          <w:szCs w:val="20"/>
        </w:rPr>
        <w:t>):</w:t>
      </w:r>
    </w:p>
    <w:p w14:paraId="6102C7F7" w14:textId="0DC98E62" w:rsidR="00DD5365" w:rsidRPr="0021036E" w:rsidRDefault="0021036E" w:rsidP="00FE18FC">
      <w:pPr>
        <w:tabs>
          <w:tab w:val="center" w:pos="2400"/>
          <w:tab w:val="right" w:pos="4800"/>
        </w:tabs>
        <w:spacing w:line="360" w:lineRule="auto"/>
        <w:ind w:firstLineChars="200" w:firstLine="400"/>
        <w:rPr>
          <w:sz w:val="20"/>
          <w:szCs w:val="20"/>
        </w:rPr>
      </w:pPr>
      <w:r>
        <w:rPr>
          <w:sz w:val="20"/>
          <w:szCs w:val="20"/>
        </w:rPr>
        <w:tab/>
      </w:r>
      <m:oMath>
        <m:r>
          <m:rPr>
            <m:sty m:val="p"/>
          </m:rPr>
          <w:rPr>
            <w:rFonts w:ascii="Cambria Math" w:hAnsi="Cambria Math"/>
            <w:sz w:val="20"/>
            <w:szCs w:val="20"/>
          </w:rPr>
          <m:t xml:space="preserve">P= </m:t>
        </m:r>
        <m:f>
          <m:fPr>
            <m:ctrlPr>
              <w:rPr>
                <w:rFonts w:ascii="Cambria Math" w:hAnsi="Cambria Math"/>
                <w:sz w:val="20"/>
                <w:szCs w:val="20"/>
              </w:rPr>
            </m:ctrlPr>
          </m:fPr>
          <m:num>
            <m:r>
              <w:rPr>
                <w:rFonts w:ascii="Cambria Math" w:hAnsi="Cambria Math"/>
                <w:sz w:val="20"/>
                <w:szCs w:val="20"/>
              </w:rPr>
              <m:t>ZnRT</m:t>
            </m:r>
          </m:num>
          <m:den>
            <m:r>
              <w:rPr>
                <w:rFonts w:ascii="Cambria Math" w:hAnsi="Cambria Math"/>
                <w:sz w:val="20"/>
                <w:szCs w:val="20"/>
              </w:rPr>
              <m:t>V</m:t>
            </m:r>
          </m:den>
        </m:f>
      </m:oMath>
      <w:r>
        <w:rPr>
          <w:sz w:val="20"/>
          <w:szCs w:val="20"/>
        </w:rPr>
        <w:tab/>
        <w:t>(1)</w:t>
      </w:r>
    </w:p>
    <w:p w14:paraId="660048FB" w14:textId="1BA1D3B6" w:rsidR="00DD5365" w:rsidRDefault="0021036E" w:rsidP="00FE18FC">
      <w:pPr>
        <w:spacing w:line="380" w:lineRule="exact"/>
        <w:ind w:firstLineChars="200" w:firstLine="400"/>
        <w:rPr>
          <w:sz w:val="20"/>
          <w:szCs w:val="20"/>
        </w:rPr>
      </w:pPr>
      <w:r w:rsidRPr="0021036E">
        <w:rPr>
          <w:sz w:val="20"/>
          <w:szCs w:val="20"/>
        </w:rPr>
        <w:t>Among them, the compressibility factor Z is calculated by the PR equation of state; T is the room temperature; n is calculated by the formula (</w:t>
      </w:r>
      <w:r>
        <w:rPr>
          <w:rFonts w:hint="eastAsia"/>
          <w:sz w:val="20"/>
          <w:szCs w:val="20"/>
        </w:rPr>
        <w:t>2</w:t>
      </w:r>
      <w:r w:rsidRPr="0021036E">
        <w:rPr>
          <w:sz w:val="20"/>
          <w:szCs w:val="20"/>
        </w:rPr>
        <w:t>)</w:t>
      </w:r>
      <w:r>
        <w:rPr>
          <w:rFonts w:hint="eastAsia"/>
          <w:sz w:val="20"/>
          <w:szCs w:val="20"/>
        </w:rPr>
        <w:t>:</w:t>
      </w:r>
    </w:p>
    <w:p w14:paraId="5461777C" w14:textId="677C6DED" w:rsidR="0021036E" w:rsidRPr="0021036E" w:rsidRDefault="0021036E" w:rsidP="00FE18FC">
      <w:pPr>
        <w:tabs>
          <w:tab w:val="center" w:pos="2400"/>
          <w:tab w:val="right" w:pos="4800"/>
        </w:tabs>
        <w:spacing w:line="360" w:lineRule="auto"/>
        <w:ind w:firstLineChars="200" w:firstLine="400"/>
        <w:rPr>
          <w:sz w:val="20"/>
          <w:szCs w:val="20"/>
        </w:rPr>
      </w:pPr>
      <w:r>
        <w:rPr>
          <w:sz w:val="20"/>
          <w:szCs w:val="20"/>
        </w:rPr>
        <w:tab/>
      </w:r>
      <m:oMath>
        <m:r>
          <m:rPr>
            <m:sty m:val="p"/>
          </m:rPr>
          <w:rPr>
            <w:rFonts w:ascii="Cambria Math" w:hAnsi="Cambria Math"/>
            <w:sz w:val="20"/>
            <w:szCs w:val="20"/>
          </w:rPr>
          <m:t xml:space="preserve">n= </m:t>
        </m:r>
        <m:f>
          <m:fPr>
            <m:ctrlPr>
              <w:rPr>
                <w:rFonts w:ascii="Cambria Math" w:hAnsi="Cambria Math"/>
                <w:sz w:val="20"/>
                <w:szCs w:val="20"/>
              </w:rPr>
            </m:ctrlPr>
          </m:fPr>
          <m:num>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P</m:t>
                </m:r>
              </m:sub>
            </m:sSub>
            <m:r>
              <w:rPr>
                <w:rFonts w:ascii="Cambria Math" w:hAnsi="Cambria Math"/>
                <w:sz w:val="20"/>
                <w:szCs w:val="20"/>
              </w:rPr>
              <m:t>S</m:t>
            </m:r>
          </m:num>
          <m:den>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hm</m:t>
                </m:r>
              </m:sub>
            </m:sSub>
          </m:den>
        </m:f>
      </m:oMath>
      <w:r>
        <w:rPr>
          <w:sz w:val="20"/>
          <w:szCs w:val="20"/>
        </w:rPr>
        <w:tab/>
        <w:t>(2)</w:t>
      </w:r>
    </w:p>
    <w:p w14:paraId="03E08C94" w14:textId="7C16BBB9" w:rsidR="00DD5365" w:rsidRDefault="00FE18FC" w:rsidP="00FE18FC">
      <w:pPr>
        <w:spacing w:line="380" w:lineRule="exact"/>
        <w:ind w:firstLineChars="200" w:firstLine="480"/>
        <w:rPr>
          <w:sz w:val="20"/>
          <w:szCs w:val="20"/>
        </w:rPr>
      </w:pPr>
      <w:r>
        <w:rPr>
          <w:noProof/>
        </w:rPr>
        <w:drawing>
          <wp:anchor distT="0" distB="0" distL="114300" distR="114300" simplePos="0" relativeHeight="251663360" behindDoc="1" locked="0" layoutInCell="1" allowOverlap="1" wp14:anchorId="5D843BF1" wp14:editId="324F1984">
            <wp:simplePos x="0" y="0"/>
            <wp:positionH relativeFrom="column">
              <wp:posOffset>30286</wp:posOffset>
            </wp:positionH>
            <wp:positionV relativeFrom="paragraph">
              <wp:posOffset>151185</wp:posOffset>
            </wp:positionV>
            <wp:extent cx="2744470" cy="148844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44470" cy="1488440"/>
                    </a:xfrm>
                    <a:prstGeom prst="rect">
                      <a:avLst/>
                    </a:prstGeom>
                  </pic:spPr>
                </pic:pic>
              </a:graphicData>
            </a:graphic>
            <wp14:sizeRelH relativeFrom="page">
              <wp14:pctWidth>0</wp14:pctWidth>
            </wp14:sizeRelH>
            <wp14:sizeRelV relativeFrom="page">
              <wp14:pctHeight>0</wp14:pctHeight>
            </wp14:sizeRelV>
          </wp:anchor>
        </w:drawing>
      </w:r>
    </w:p>
    <w:p w14:paraId="69E32FED" w14:textId="378EB3A7" w:rsidR="00DD5365" w:rsidRDefault="00DD5365" w:rsidP="00FE18FC">
      <w:pPr>
        <w:spacing w:line="380" w:lineRule="exact"/>
        <w:ind w:firstLineChars="200" w:firstLine="400"/>
        <w:rPr>
          <w:sz w:val="20"/>
          <w:szCs w:val="20"/>
        </w:rPr>
      </w:pPr>
    </w:p>
    <w:p w14:paraId="1CD65CFC" w14:textId="3AAF8F3C" w:rsidR="00DD5365" w:rsidRDefault="00DD5365" w:rsidP="00FE18FC">
      <w:pPr>
        <w:spacing w:line="380" w:lineRule="exact"/>
        <w:ind w:firstLineChars="200" w:firstLine="400"/>
        <w:rPr>
          <w:sz w:val="20"/>
          <w:szCs w:val="20"/>
        </w:rPr>
      </w:pPr>
    </w:p>
    <w:p w14:paraId="05B9FE2C" w14:textId="3F802C4A" w:rsidR="00DD5365" w:rsidRDefault="00DD5365" w:rsidP="00FE18FC">
      <w:pPr>
        <w:spacing w:line="380" w:lineRule="exact"/>
        <w:ind w:firstLineChars="200" w:firstLine="400"/>
        <w:rPr>
          <w:sz w:val="20"/>
          <w:szCs w:val="20"/>
        </w:rPr>
      </w:pPr>
    </w:p>
    <w:p w14:paraId="2091C4E0" w14:textId="504520AA" w:rsidR="00DD5365" w:rsidRDefault="00DD5365" w:rsidP="00FE18FC">
      <w:pPr>
        <w:spacing w:line="380" w:lineRule="exact"/>
        <w:ind w:firstLineChars="200" w:firstLine="400"/>
        <w:rPr>
          <w:sz w:val="20"/>
          <w:szCs w:val="20"/>
        </w:rPr>
      </w:pPr>
    </w:p>
    <w:p w14:paraId="49C7407D" w14:textId="067EA6B6" w:rsidR="00DD5365" w:rsidRDefault="00DD5365" w:rsidP="00FE18FC">
      <w:pPr>
        <w:spacing w:line="380" w:lineRule="exact"/>
        <w:ind w:firstLineChars="200" w:firstLine="400"/>
        <w:rPr>
          <w:sz w:val="20"/>
          <w:szCs w:val="20"/>
        </w:rPr>
      </w:pPr>
    </w:p>
    <w:p w14:paraId="41C8BB95" w14:textId="0421D8FE" w:rsidR="00C2409F" w:rsidRDefault="00C2409F" w:rsidP="00FE18FC">
      <w:pPr>
        <w:spacing w:line="380" w:lineRule="exact"/>
        <w:rPr>
          <w:sz w:val="20"/>
          <w:szCs w:val="20"/>
        </w:rPr>
      </w:pPr>
    </w:p>
    <w:p w14:paraId="3A056B02" w14:textId="4CD10DFB" w:rsidR="00DD5365" w:rsidRPr="00457313" w:rsidRDefault="00DD5365" w:rsidP="00FE18FC">
      <w:pPr>
        <w:spacing w:line="380" w:lineRule="exact"/>
        <w:jc w:val="center"/>
        <w:rPr>
          <w:sz w:val="20"/>
          <w:szCs w:val="20"/>
        </w:rPr>
      </w:pPr>
      <w:r w:rsidRPr="00DD658A">
        <w:rPr>
          <w:b/>
          <w:sz w:val="20"/>
          <w:szCs w:val="20"/>
        </w:rPr>
        <w:t>Fig. 1</w:t>
      </w:r>
      <w:r w:rsidRPr="00B92DF1">
        <w:rPr>
          <w:b/>
          <w:sz w:val="20"/>
          <w:szCs w:val="20"/>
        </w:rPr>
        <w:t>.</w:t>
      </w:r>
      <w:r w:rsidRPr="006B0FBA">
        <w:rPr>
          <w:sz w:val="20"/>
          <w:szCs w:val="20"/>
        </w:rPr>
        <w:t xml:space="preserve"> </w:t>
      </w:r>
      <w:r w:rsidRPr="00DD5365">
        <w:rPr>
          <w:sz w:val="20"/>
          <w:szCs w:val="20"/>
        </w:rPr>
        <w:t>Schematic of the apparatus for gas hydrate dissolving experiment</w:t>
      </w:r>
    </w:p>
    <w:p w14:paraId="7967716D" w14:textId="77777777" w:rsidR="00FE18FC" w:rsidRPr="008A633B" w:rsidRDefault="00FE18FC" w:rsidP="00FE18FC">
      <w:pPr>
        <w:spacing w:line="380" w:lineRule="exact"/>
        <w:rPr>
          <w:b/>
          <w:szCs w:val="24"/>
        </w:rPr>
      </w:pPr>
      <w:r w:rsidRPr="008A633B">
        <w:rPr>
          <w:rFonts w:hint="eastAsia"/>
          <w:b/>
          <w:szCs w:val="24"/>
        </w:rPr>
        <w:t>3</w:t>
      </w:r>
      <w:r w:rsidRPr="008A633B">
        <w:rPr>
          <w:b/>
          <w:szCs w:val="24"/>
        </w:rPr>
        <w:t xml:space="preserve">. </w:t>
      </w:r>
      <w:r w:rsidRPr="0021036E">
        <w:rPr>
          <w:b/>
          <w:szCs w:val="24"/>
        </w:rPr>
        <w:t>Experimental results and discussion</w:t>
      </w:r>
    </w:p>
    <w:p w14:paraId="107765A7" w14:textId="77777777" w:rsidR="00FE18FC" w:rsidRPr="006B0FBA" w:rsidRDefault="00FE18FC" w:rsidP="00FE18FC">
      <w:pPr>
        <w:spacing w:line="380" w:lineRule="exact"/>
        <w:ind w:firstLineChars="200" w:firstLine="400"/>
        <w:rPr>
          <w:sz w:val="20"/>
          <w:szCs w:val="20"/>
        </w:rPr>
      </w:pPr>
      <w:r w:rsidRPr="0021036E">
        <w:rPr>
          <w:sz w:val="20"/>
          <w:szCs w:val="20"/>
        </w:rPr>
        <w:t xml:space="preserve">A total of 5 groups of experiments were carried out, of which 3 groups were dissolved by water injection, and the hydrate saturation was 10%, 20%, and 30% (nominal saturation) respectively; the other 2 groups were dissolved by oil injection, and the hydrate </w:t>
      </w:r>
      <w:r w:rsidRPr="0021036E">
        <w:rPr>
          <w:sz w:val="20"/>
          <w:szCs w:val="20"/>
        </w:rPr>
        <w:lastRenderedPageBreak/>
        <w:t>saturation was 10% respectively. And 20%. The experiment and output are shown in Table 2.</w:t>
      </w:r>
    </w:p>
    <w:p w14:paraId="03CF476B" w14:textId="07AC91E8" w:rsidR="003879E5" w:rsidRPr="003879E5" w:rsidRDefault="003879E5" w:rsidP="00FE18FC">
      <w:pPr>
        <w:spacing w:line="380" w:lineRule="exact"/>
        <w:jc w:val="center"/>
        <w:rPr>
          <w:sz w:val="20"/>
          <w:szCs w:val="20"/>
        </w:rPr>
      </w:pPr>
      <w:r w:rsidRPr="006B0FBA">
        <w:rPr>
          <w:sz w:val="20"/>
          <w:szCs w:val="20"/>
        </w:rPr>
        <w:t xml:space="preserve">Table 1. </w:t>
      </w:r>
      <w:r w:rsidRPr="003879E5">
        <w:rPr>
          <w:sz w:val="20"/>
          <w:szCs w:val="20"/>
        </w:rPr>
        <w:t>Materials used in the experiments</w:t>
      </w:r>
    </w:p>
    <w:tbl>
      <w:tblPr>
        <w:tblStyle w:val="a3"/>
        <w:tblW w:w="4227" w:type="dxa"/>
        <w:tblBorders>
          <w:left w:val="none" w:sz="0" w:space="0" w:color="auto"/>
          <w:right w:val="none" w:sz="0" w:space="0" w:color="auto"/>
          <w:insideH w:val="none" w:sz="0" w:space="0" w:color="auto"/>
          <w:insideV w:val="none" w:sz="0" w:space="0" w:color="auto"/>
        </w:tblBorders>
        <w:tblCellMar>
          <w:left w:w="85" w:type="dxa"/>
          <w:right w:w="28" w:type="dxa"/>
        </w:tblCellMar>
        <w:tblLook w:val="04A0" w:firstRow="1" w:lastRow="0" w:firstColumn="1" w:lastColumn="0" w:noHBand="0" w:noVBand="1"/>
      </w:tblPr>
      <w:tblGrid>
        <w:gridCol w:w="1334"/>
        <w:gridCol w:w="1184"/>
        <w:gridCol w:w="1709"/>
      </w:tblGrid>
      <w:tr w:rsidR="00FD0B89" w:rsidRPr="003879E5" w14:paraId="72110A1A" w14:textId="0319952A" w:rsidTr="005326B6">
        <w:trPr>
          <w:trHeight w:val="445"/>
        </w:trPr>
        <w:tc>
          <w:tcPr>
            <w:tcW w:w="1418" w:type="dxa"/>
            <w:tcBorders>
              <w:top w:val="single" w:sz="4" w:space="0" w:color="auto"/>
              <w:bottom w:val="nil"/>
            </w:tcBorders>
            <w:vAlign w:val="center"/>
          </w:tcPr>
          <w:p w14:paraId="7E84592A" w14:textId="2817D061" w:rsidR="00FD0B89" w:rsidRPr="003879E5" w:rsidRDefault="00FD0B89" w:rsidP="00FE18FC">
            <w:pPr>
              <w:spacing w:line="380" w:lineRule="exact"/>
              <w:jc w:val="center"/>
              <w:rPr>
                <w:rFonts w:cs="Times New Roman"/>
                <w:sz w:val="20"/>
                <w:szCs w:val="20"/>
              </w:rPr>
            </w:pPr>
            <w:bookmarkStart w:id="0" w:name="_Hlk87522529"/>
            <w:r w:rsidRPr="003879E5">
              <w:rPr>
                <w:rFonts w:cs="Times New Roman"/>
                <w:sz w:val="20"/>
                <w:szCs w:val="20"/>
              </w:rPr>
              <w:t>Name.</w:t>
            </w:r>
          </w:p>
        </w:tc>
        <w:tc>
          <w:tcPr>
            <w:tcW w:w="1006" w:type="dxa"/>
            <w:tcBorders>
              <w:top w:val="single" w:sz="4" w:space="0" w:color="auto"/>
              <w:bottom w:val="nil"/>
            </w:tcBorders>
            <w:vAlign w:val="center"/>
          </w:tcPr>
          <w:p w14:paraId="365DA9FA" w14:textId="4EC6B7AC" w:rsidR="00FD0B89" w:rsidRPr="003879E5" w:rsidRDefault="00FD0B89" w:rsidP="00FE18FC">
            <w:pPr>
              <w:spacing w:line="380" w:lineRule="exact"/>
              <w:jc w:val="center"/>
              <w:rPr>
                <w:rFonts w:cs="Times New Roman"/>
                <w:sz w:val="20"/>
                <w:szCs w:val="20"/>
              </w:rPr>
            </w:pPr>
            <w:r w:rsidRPr="003879E5">
              <w:rPr>
                <w:sz w:val="20"/>
                <w:szCs w:val="20"/>
              </w:rPr>
              <w:t>Specification</w:t>
            </w:r>
          </w:p>
        </w:tc>
        <w:tc>
          <w:tcPr>
            <w:tcW w:w="1803" w:type="dxa"/>
            <w:tcBorders>
              <w:top w:val="single" w:sz="4" w:space="0" w:color="auto"/>
              <w:bottom w:val="nil"/>
            </w:tcBorders>
            <w:vAlign w:val="center"/>
          </w:tcPr>
          <w:p w14:paraId="077C1E50" w14:textId="2397F427" w:rsidR="00FD0B89" w:rsidRPr="003879E5" w:rsidRDefault="00FD0B89" w:rsidP="00FE18FC">
            <w:pPr>
              <w:spacing w:line="380" w:lineRule="exact"/>
              <w:jc w:val="center"/>
              <w:rPr>
                <w:rFonts w:cs="Times New Roman"/>
                <w:sz w:val="20"/>
                <w:szCs w:val="20"/>
              </w:rPr>
            </w:pPr>
            <w:r w:rsidRPr="003879E5">
              <w:rPr>
                <w:rFonts w:cs="Times New Roman"/>
                <w:sz w:val="20"/>
                <w:szCs w:val="20"/>
              </w:rPr>
              <w:t>Manufacturer</w:t>
            </w:r>
          </w:p>
        </w:tc>
      </w:tr>
      <w:tr w:rsidR="00FD0B89" w:rsidRPr="003879E5" w14:paraId="3F70E0ED" w14:textId="3FA3A36E" w:rsidTr="005326B6">
        <w:trPr>
          <w:trHeight w:val="412"/>
        </w:trPr>
        <w:tc>
          <w:tcPr>
            <w:tcW w:w="1418" w:type="dxa"/>
            <w:tcBorders>
              <w:top w:val="single" w:sz="4" w:space="0" w:color="auto"/>
            </w:tcBorders>
            <w:vAlign w:val="center"/>
          </w:tcPr>
          <w:p w14:paraId="77C041C0" w14:textId="2A5C88D0" w:rsidR="00FD0B89" w:rsidRPr="003879E5" w:rsidRDefault="00FD0B89" w:rsidP="00FE18FC">
            <w:pPr>
              <w:spacing w:line="380" w:lineRule="exact"/>
              <w:jc w:val="center"/>
              <w:rPr>
                <w:rFonts w:cs="Times New Roman"/>
                <w:sz w:val="20"/>
                <w:szCs w:val="20"/>
              </w:rPr>
            </w:pPr>
            <w:r w:rsidRPr="003879E5">
              <w:rPr>
                <w:rFonts w:cs="Times New Roman"/>
                <w:sz w:val="20"/>
                <w:szCs w:val="20"/>
              </w:rPr>
              <w:t>Deionized water</w:t>
            </w:r>
          </w:p>
        </w:tc>
        <w:tc>
          <w:tcPr>
            <w:tcW w:w="1006" w:type="dxa"/>
            <w:tcBorders>
              <w:top w:val="single" w:sz="4" w:space="0" w:color="auto"/>
            </w:tcBorders>
            <w:vAlign w:val="center"/>
          </w:tcPr>
          <w:p w14:paraId="25A76221" w14:textId="64ACE8D7" w:rsidR="00FD0B89" w:rsidRPr="003879E5" w:rsidRDefault="00FD0B89" w:rsidP="00FE18FC">
            <w:pPr>
              <w:spacing w:line="380" w:lineRule="exact"/>
              <w:jc w:val="center"/>
              <w:rPr>
                <w:rFonts w:cs="Times New Roman"/>
                <w:sz w:val="20"/>
                <w:szCs w:val="20"/>
              </w:rPr>
            </w:pPr>
            <w:r>
              <w:rPr>
                <w:rFonts w:cs="Times New Roman"/>
                <w:sz w:val="20"/>
                <w:szCs w:val="20"/>
              </w:rPr>
              <w:t xml:space="preserve">18.2 </w:t>
            </w:r>
            <w:r w:rsidRPr="00FD0B89">
              <w:rPr>
                <w:rFonts w:cs="Times New Roman"/>
                <w:sz w:val="20"/>
                <w:szCs w:val="20"/>
              </w:rPr>
              <w:t>MΩ·cm</w:t>
            </w:r>
          </w:p>
        </w:tc>
        <w:tc>
          <w:tcPr>
            <w:tcW w:w="1803" w:type="dxa"/>
            <w:vMerge w:val="restart"/>
            <w:tcBorders>
              <w:top w:val="single" w:sz="4" w:space="0" w:color="auto"/>
            </w:tcBorders>
            <w:vAlign w:val="center"/>
          </w:tcPr>
          <w:p w14:paraId="5E8EDDDA" w14:textId="77777777" w:rsidR="00FD0B89" w:rsidRPr="003879E5" w:rsidRDefault="00FD0B89" w:rsidP="00FE18FC">
            <w:pPr>
              <w:spacing w:line="380" w:lineRule="exact"/>
              <w:jc w:val="center"/>
              <w:rPr>
                <w:rFonts w:cs="Times New Roman"/>
                <w:sz w:val="20"/>
                <w:szCs w:val="20"/>
              </w:rPr>
            </w:pPr>
            <w:r w:rsidRPr="00FD0B89">
              <w:rPr>
                <w:rFonts w:cs="Times New Roman"/>
                <w:sz w:val="20"/>
                <w:szCs w:val="20"/>
              </w:rPr>
              <w:t>Lab homemade</w:t>
            </w:r>
          </w:p>
          <w:p w14:paraId="29E1DFDF" w14:textId="77777777" w:rsidR="00FD0B89" w:rsidRPr="003879E5" w:rsidRDefault="00FD0B89" w:rsidP="00FE18FC">
            <w:pPr>
              <w:spacing w:line="380" w:lineRule="exact"/>
              <w:jc w:val="center"/>
              <w:rPr>
                <w:rFonts w:cs="Times New Roman"/>
                <w:sz w:val="20"/>
                <w:szCs w:val="20"/>
              </w:rPr>
            </w:pPr>
            <w:r w:rsidRPr="00FD0B89">
              <w:rPr>
                <w:rFonts w:cs="Times New Roman"/>
                <w:sz w:val="20"/>
                <w:szCs w:val="20"/>
              </w:rPr>
              <w:t>Tongzhou Hongren Gas Co., Ltd.</w:t>
            </w:r>
          </w:p>
          <w:p w14:paraId="5956392A" w14:textId="77777777" w:rsidR="00FD0B89" w:rsidRPr="003879E5" w:rsidRDefault="00FD0B89" w:rsidP="00FE18FC">
            <w:pPr>
              <w:spacing w:line="380" w:lineRule="exact"/>
              <w:jc w:val="center"/>
              <w:rPr>
                <w:rFonts w:cs="Times New Roman"/>
                <w:sz w:val="20"/>
                <w:szCs w:val="20"/>
              </w:rPr>
            </w:pPr>
            <w:r w:rsidRPr="00FD0B89">
              <w:rPr>
                <w:rFonts w:cs="Times New Roman"/>
                <w:sz w:val="20"/>
                <w:szCs w:val="20"/>
              </w:rPr>
              <w:t>Heyuan Wanchuan Quartz Development Co., Ltd.</w:t>
            </w:r>
          </w:p>
          <w:p w14:paraId="5BDBE137" w14:textId="77777777" w:rsidR="00FD0B89" w:rsidRPr="003879E5" w:rsidRDefault="00FD0B89" w:rsidP="00FE18FC">
            <w:pPr>
              <w:spacing w:line="380" w:lineRule="exact"/>
              <w:jc w:val="center"/>
              <w:rPr>
                <w:rFonts w:cs="Times New Roman"/>
                <w:sz w:val="20"/>
                <w:szCs w:val="20"/>
              </w:rPr>
            </w:pPr>
            <w:r w:rsidRPr="00FD0B89">
              <w:rPr>
                <w:rFonts w:cs="Times New Roman"/>
                <w:sz w:val="20"/>
                <w:szCs w:val="20"/>
              </w:rPr>
              <w:t>Mojiezuo Petrochemical (Shanghai) Co., Ltd.</w:t>
            </w:r>
          </w:p>
          <w:p w14:paraId="03C17E8F" w14:textId="1D5BD678" w:rsidR="00FD0B89" w:rsidRPr="00FD0B89" w:rsidRDefault="00FD0B89" w:rsidP="00FE18FC">
            <w:pPr>
              <w:spacing w:line="380" w:lineRule="exact"/>
              <w:jc w:val="center"/>
              <w:rPr>
                <w:rFonts w:cs="Times New Roman"/>
                <w:sz w:val="20"/>
                <w:szCs w:val="20"/>
              </w:rPr>
            </w:pPr>
            <w:r w:rsidRPr="00FD0B89">
              <w:rPr>
                <w:rFonts w:cs="Times New Roman"/>
                <w:sz w:val="20"/>
                <w:szCs w:val="20"/>
              </w:rPr>
              <w:t>Aladdin Chemical Reagent Co., Ltd.</w:t>
            </w:r>
          </w:p>
        </w:tc>
      </w:tr>
      <w:tr w:rsidR="00FD0B89" w:rsidRPr="003879E5" w14:paraId="5ACC8F03" w14:textId="3120E2B5" w:rsidTr="005326B6">
        <w:trPr>
          <w:trHeight w:val="445"/>
        </w:trPr>
        <w:tc>
          <w:tcPr>
            <w:tcW w:w="1418" w:type="dxa"/>
            <w:vAlign w:val="center"/>
          </w:tcPr>
          <w:p w14:paraId="6C882944" w14:textId="6A00E674" w:rsidR="00FD0B89" w:rsidRPr="003879E5" w:rsidRDefault="00FD0B89" w:rsidP="00FE18FC">
            <w:pPr>
              <w:spacing w:line="380" w:lineRule="exact"/>
              <w:jc w:val="center"/>
              <w:rPr>
                <w:rFonts w:cs="Times New Roman"/>
                <w:sz w:val="20"/>
                <w:szCs w:val="20"/>
              </w:rPr>
            </w:pPr>
            <w:r w:rsidRPr="00FD0B89">
              <w:rPr>
                <w:rFonts w:cs="Times New Roman"/>
                <w:sz w:val="20"/>
                <w:szCs w:val="20"/>
              </w:rPr>
              <w:t>CH4</w:t>
            </w:r>
          </w:p>
        </w:tc>
        <w:tc>
          <w:tcPr>
            <w:tcW w:w="1006" w:type="dxa"/>
            <w:vAlign w:val="center"/>
          </w:tcPr>
          <w:p w14:paraId="3EA4001A" w14:textId="5A16A6BB" w:rsidR="00FD0B89" w:rsidRPr="003879E5" w:rsidRDefault="00FD0B89" w:rsidP="00FE18FC">
            <w:pPr>
              <w:spacing w:line="380" w:lineRule="exact"/>
              <w:jc w:val="center"/>
              <w:rPr>
                <w:rFonts w:cs="Times New Roman"/>
                <w:sz w:val="20"/>
                <w:szCs w:val="20"/>
              </w:rPr>
            </w:pPr>
            <w:r w:rsidRPr="00FD0B89">
              <w:rPr>
                <w:rFonts w:cs="Times New Roman"/>
                <w:sz w:val="20"/>
                <w:szCs w:val="20"/>
              </w:rPr>
              <w:t>99.9%</w:t>
            </w:r>
          </w:p>
        </w:tc>
        <w:tc>
          <w:tcPr>
            <w:tcW w:w="1803" w:type="dxa"/>
            <w:vMerge/>
            <w:vAlign w:val="center"/>
          </w:tcPr>
          <w:p w14:paraId="55A5FA6B" w14:textId="62EEE8AC" w:rsidR="00FD0B89" w:rsidRPr="00FD0B89" w:rsidRDefault="00FD0B89" w:rsidP="00FE18FC">
            <w:pPr>
              <w:spacing w:line="380" w:lineRule="exact"/>
              <w:jc w:val="center"/>
              <w:rPr>
                <w:rFonts w:cs="Times New Roman"/>
                <w:sz w:val="20"/>
                <w:szCs w:val="20"/>
              </w:rPr>
            </w:pPr>
          </w:p>
        </w:tc>
      </w:tr>
      <w:tr w:rsidR="00FD0B89" w:rsidRPr="003879E5" w14:paraId="12F3C2BB" w14:textId="5B84AB58" w:rsidTr="005326B6">
        <w:trPr>
          <w:trHeight w:val="445"/>
        </w:trPr>
        <w:tc>
          <w:tcPr>
            <w:tcW w:w="1418" w:type="dxa"/>
            <w:vAlign w:val="center"/>
          </w:tcPr>
          <w:p w14:paraId="695700D0" w14:textId="2C196D69" w:rsidR="00FD0B89" w:rsidRPr="003879E5" w:rsidRDefault="00FD0B89" w:rsidP="00FE18FC">
            <w:pPr>
              <w:spacing w:line="380" w:lineRule="exact"/>
              <w:jc w:val="center"/>
              <w:rPr>
                <w:rFonts w:cs="Times New Roman"/>
                <w:sz w:val="20"/>
                <w:szCs w:val="20"/>
              </w:rPr>
            </w:pPr>
            <w:r w:rsidRPr="00FD0B89">
              <w:rPr>
                <w:rFonts w:cs="Times New Roman"/>
                <w:sz w:val="20"/>
                <w:szCs w:val="20"/>
              </w:rPr>
              <w:t>Quartz sand</w:t>
            </w:r>
          </w:p>
        </w:tc>
        <w:tc>
          <w:tcPr>
            <w:tcW w:w="1006" w:type="dxa"/>
            <w:vAlign w:val="center"/>
          </w:tcPr>
          <w:p w14:paraId="49C7143D" w14:textId="4A125AC7" w:rsidR="00FD0B89" w:rsidRPr="003879E5" w:rsidRDefault="00FD0B89" w:rsidP="00FE18FC">
            <w:pPr>
              <w:spacing w:line="380" w:lineRule="exact"/>
              <w:jc w:val="center"/>
              <w:rPr>
                <w:rFonts w:cs="Times New Roman"/>
                <w:sz w:val="20"/>
                <w:szCs w:val="20"/>
              </w:rPr>
            </w:pPr>
            <w:r w:rsidRPr="00FD0B89">
              <w:rPr>
                <w:rFonts w:cs="Times New Roman"/>
                <w:sz w:val="20"/>
                <w:szCs w:val="20"/>
              </w:rPr>
              <w:t>400~1200μm</w:t>
            </w:r>
          </w:p>
        </w:tc>
        <w:tc>
          <w:tcPr>
            <w:tcW w:w="1803" w:type="dxa"/>
            <w:vMerge/>
            <w:vAlign w:val="center"/>
          </w:tcPr>
          <w:p w14:paraId="0BAE2BF5" w14:textId="0FC8C718" w:rsidR="00FD0B89" w:rsidRPr="00FD0B89" w:rsidRDefault="00FD0B89" w:rsidP="00FE18FC">
            <w:pPr>
              <w:spacing w:line="380" w:lineRule="exact"/>
              <w:jc w:val="center"/>
              <w:rPr>
                <w:rFonts w:cs="Times New Roman"/>
                <w:sz w:val="20"/>
                <w:szCs w:val="20"/>
              </w:rPr>
            </w:pPr>
          </w:p>
        </w:tc>
      </w:tr>
      <w:tr w:rsidR="00FD0B89" w:rsidRPr="003879E5" w14:paraId="62A5B659" w14:textId="33D91971" w:rsidTr="005326B6">
        <w:trPr>
          <w:trHeight w:val="445"/>
        </w:trPr>
        <w:tc>
          <w:tcPr>
            <w:tcW w:w="1418" w:type="dxa"/>
            <w:vAlign w:val="center"/>
          </w:tcPr>
          <w:p w14:paraId="192EFE00" w14:textId="083E5B81" w:rsidR="00FD0B89" w:rsidRPr="003879E5" w:rsidRDefault="00FD0B89" w:rsidP="00FE18FC">
            <w:pPr>
              <w:spacing w:line="380" w:lineRule="exact"/>
              <w:jc w:val="center"/>
              <w:rPr>
                <w:rFonts w:cs="Times New Roman"/>
                <w:sz w:val="20"/>
                <w:szCs w:val="20"/>
              </w:rPr>
            </w:pPr>
            <w:r w:rsidRPr="00FD0B89">
              <w:rPr>
                <w:rFonts w:cs="Times New Roman"/>
                <w:sz w:val="20"/>
                <w:szCs w:val="20"/>
              </w:rPr>
              <w:t>Mineral white oil</w:t>
            </w:r>
          </w:p>
        </w:tc>
        <w:tc>
          <w:tcPr>
            <w:tcW w:w="1006" w:type="dxa"/>
            <w:vAlign w:val="center"/>
          </w:tcPr>
          <w:p w14:paraId="3AD31114" w14:textId="301BD342" w:rsidR="00FD0B89" w:rsidRPr="003879E5" w:rsidRDefault="00FD0B89" w:rsidP="00FE18FC">
            <w:pPr>
              <w:spacing w:line="380" w:lineRule="exact"/>
              <w:jc w:val="center"/>
              <w:rPr>
                <w:rFonts w:cs="Times New Roman"/>
                <w:sz w:val="20"/>
                <w:szCs w:val="20"/>
              </w:rPr>
            </w:pPr>
            <w:r w:rsidRPr="00FD0B89">
              <w:rPr>
                <w:rFonts w:cs="Times New Roman" w:hint="eastAsia"/>
                <w:sz w:val="20"/>
                <w:szCs w:val="20"/>
              </w:rPr>
              <w:t>5#</w:t>
            </w:r>
          </w:p>
        </w:tc>
        <w:tc>
          <w:tcPr>
            <w:tcW w:w="1803" w:type="dxa"/>
            <w:vMerge/>
            <w:vAlign w:val="center"/>
          </w:tcPr>
          <w:p w14:paraId="2AB1C9D0" w14:textId="5A49CCB1" w:rsidR="00FD0B89" w:rsidRPr="00FD0B89" w:rsidRDefault="00FD0B89" w:rsidP="00FE18FC">
            <w:pPr>
              <w:spacing w:line="380" w:lineRule="exact"/>
              <w:jc w:val="center"/>
              <w:rPr>
                <w:rFonts w:cs="Times New Roman"/>
                <w:sz w:val="20"/>
                <w:szCs w:val="20"/>
              </w:rPr>
            </w:pPr>
          </w:p>
        </w:tc>
      </w:tr>
      <w:tr w:rsidR="00FD0B89" w:rsidRPr="003879E5" w14:paraId="11FC6299" w14:textId="0197E82A" w:rsidTr="005326B6">
        <w:trPr>
          <w:trHeight w:val="445"/>
        </w:trPr>
        <w:tc>
          <w:tcPr>
            <w:tcW w:w="1418" w:type="dxa"/>
            <w:vAlign w:val="center"/>
          </w:tcPr>
          <w:p w14:paraId="6ED16164" w14:textId="3FAE3EB0" w:rsidR="00FD0B89" w:rsidRPr="003879E5" w:rsidRDefault="00FD0B89" w:rsidP="00FE18FC">
            <w:pPr>
              <w:spacing w:line="380" w:lineRule="exact"/>
              <w:jc w:val="center"/>
              <w:rPr>
                <w:rFonts w:cs="Times New Roman"/>
                <w:sz w:val="20"/>
                <w:szCs w:val="20"/>
              </w:rPr>
            </w:pPr>
            <w:r w:rsidRPr="00FD0B89">
              <w:rPr>
                <w:rFonts w:cs="Times New Roman"/>
                <w:sz w:val="20"/>
                <w:szCs w:val="20"/>
              </w:rPr>
              <w:t>Span80</w:t>
            </w:r>
          </w:p>
        </w:tc>
        <w:tc>
          <w:tcPr>
            <w:tcW w:w="1006" w:type="dxa"/>
            <w:vAlign w:val="center"/>
          </w:tcPr>
          <w:p w14:paraId="719233D5" w14:textId="053BD614" w:rsidR="00FD0B89" w:rsidRPr="003879E5" w:rsidRDefault="00FD0B89" w:rsidP="00FE18FC">
            <w:pPr>
              <w:spacing w:line="380" w:lineRule="exact"/>
              <w:jc w:val="center"/>
              <w:rPr>
                <w:rFonts w:cs="Times New Roman"/>
                <w:sz w:val="20"/>
                <w:szCs w:val="20"/>
              </w:rPr>
            </w:pPr>
            <w:r>
              <w:rPr>
                <w:rFonts w:cs="Times New Roman" w:hint="eastAsia"/>
                <w:sz w:val="20"/>
                <w:szCs w:val="20"/>
              </w:rPr>
              <w:t>9</w:t>
            </w:r>
            <w:r>
              <w:rPr>
                <w:rFonts w:cs="Times New Roman"/>
                <w:sz w:val="20"/>
                <w:szCs w:val="20"/>
              </w:rPr>
              <w:t>9.0%</w:t>
            </w:r>
          </w:p>
        </w:tc>
        <w:tc>
          <w:tcPr>
            <w:tcW w:w="1803" w:type="dxa"/>
            <w:vMerge/>
            <w:vAlign w:val="center"/>
          </w:tcPr>
          <w:p w14:paraId="3BB23E31" w14:textId="3C857CC8" w:rsidR="00FD0B89" w:rsidRPr="00FD0B89" w:rsidRDefault="00FD0B89" w:rsidP="00FE18FC">
            <w:pPr>
              <w:spacing w:line="380" w:lineRule="exact"/>
              <w:jc w:val="center"/>
              <w:rPr>
                <w:rFonts w:cs="Times New Roman"/>
                <w:sz w:val="20"/>
                <w:szCs w:val="20"/>
              </w:rPr>
            </w:pPr>
          </w:p>
        </w:tc>
      </w:tr>
    </w:tbl>
    <w:bookmarkEnd w:id="0"/>
    <w:p w14:paraId="7C5B09A7" w14:textId="12414288" w:rsidR="00661CB6" w:rsidRPr="008A633B" w:rsidRDefault="005D0A0E" w:rsidP="00FE18FC">
      <w:pPr>
        <w:spacing w:line="380" w:lineRule="exact"/>
        <w:rPr>
          <w:b/>
          <w:sz w:val="22"/>
        </w:rPr>
      </w:pPr>
      <w:r w:rsidRPr="008A633B">
        <w:rPr>
          <w:b/>
          <w:sz w:val="22"/>
        </w:rPr>
        <w:t>3.1.</w:t>
      </w:r>
      <w:r w:rsidR="0021036E" w:rsidRPr="0021036E">
        <w:rPr>
          <w:b/>
          <w:sz w:val="22"/>
        </w:rPr>
        <w:t xml:space="preserve"> </w:t>
      </w:r>
      <w:r w:rsidR="0010476F">
        <w:rPr>
          <w:b/>
          <w:sz w:val="22"/>
        </w:rPr>
        <w:t>G</w:t>
      </w:r>
      <w:r w:rsidR="0021036E" w:rsidRPr="0021036E">
        <w:rPr>
          <w:b/>
          <w:sz w:val="22"/>
        </w:rPr>
        <w:t>as and liquid production</w:t>
      </w:r>
    </w:p>
    <w:p w14:paraId="48B11336" w14:textId="6F765C5C" w:rsidR="00425B31" w:rsidRDefault="0021036E" w:rsidP="00FE18FC">
      <w:pPr>
        <w:spacing w:line="380" w:lineRule="exact"/>
        <w:ind w:firstLineChars="200" w:firstLine="400"/>
        <w:rPr>
          <w:sz w:val="20"/>
          <w:szCs w:val="20"/>
        </w:rPr>
      </w:pPr>
      <w:r w:rsidRPr="0021036E">
        <w:rPr>
          <w:sz w:val="20"/>
          <w:szCs w:val="20"/>
        </w:rPr>
        <w:t>Figures 4 and 5 show the cumulative gas and liquid production curves of reservoirs with different hydrate saturations during water injection and oil injection dissolution. It can be seen from the figure that both water injection and oil injection can effectively dissolve hydrates.</w:t>
      </w:r>
      <w:r w:rsidR="00D57C84" w:rsidRPr="006B0FBA">
        <w:rPr>
          <w:sz w:val="20"/>
          <w:szCs w:val="20"/>
        </w:rPr>
        <w:t>.</w:t>
      </w:r>
    </w:p>
    <w:p w14:paraId="7303E152" w14:textId="77777777" w:rsidR="00FE18FC" w:rsidRPr="008A633B" w:rsidRDefault="00FE18FC" w:rsidP="00FE18FC">
      <w:pPr>
        <w:spacing w:line="380" w:lineRule="exact"/>
        <w:rPr>
          <w:b/>
          <w:sz w:val="22"/>
        </w:rPr>
      </w:pPr>
      <w:r w:rsidRPr="008A633B">
        <w:rPr>
          <w:rFonts w:hint="eastAsia"/>
          <w:b/>
          <w:sz w:val="22"/>
        </w:rPr>
        <w:t>3</w:t>
      </w:r>
      <w:r w:rsidRPr="008A633B">
        <w:rPr>
          <w:b/>
          <w:sz w:val="22"/>
        </w:rPr>
        <w:t xml:space="preserve">.2. </w:t>
      </w:r>
      <w:r>
        <w:rPr>
          <w:b/>
          <w:sz w:val="22"/>
        </w:rPr>
        <w:t>Gas-liquid ratio change</w:t>
      </w:r>
    </w:p>
    <w:p w14:paraId="2AC21748" w14:textId="529E4D62" w:rsidR="00FE18FC" w:rsidRPr="006B0FBA" w:rsidRDefault="00FE18FC" w:rsidP="00FE18FC">
      <w:pPr>
        <w:spacing w:line="380" w:lineRule="exact"/>
        <w:ind w:firstLineChars="200" w:firstLine="400"/>
        <w:rPr>
          <w:sz w:val="20"/>
          <w:szCs w:val="20"/>
        </w:rPr>
      </w:pPr>
      <w:r w:rsidRPr="0026076F">
        <w:rPr>
          <w:sz w:val="20"/>
          <w:szCs w:val="20"/>
        </w:rPr>
        <w:t>After the methane-dissolved fluid reaches the outlet, it enters the measuring cylinder under normal temperature and pressure conditions, where methane gas is rapidly precipitated. At this time, the ratio of gas production volume to liquid production volume is called the gas-liquid ratio. Figures 7 and 8 show the gas-liquid ratio curves of water and oil injection to dissolve hydrate reservoirs with different saturations, respectively. Among them, the instantaneous gas-liquid ratio is the volume ratio of the gas production to the liquid production between two adjacent data points,</w:t>
      </w:r>
    </w:p>
    <w:p w14:paraId="68D008D4" w14:textId="57BD3E1A" w:rsidR="00E36C04" w:rsidRDefault="00E36C04" w:rsidP="00FE18FC">
      <w:pPr>
        <w:spacing w:line="380" w:lineRule="exact"/>
        <w:jc w:val="center"/>
        <w:rPr>
          <w:noProof/>
          <w:sz w:val="20"/>
          <w:szCs w:val="20"/>
        </w:rPr>
      </w:pPr>
    </w:p>
    <w:p w14:paraId="248382DC" w14:textId="3CEB2B95" w:rsidR="0021036E" w:rsidRDefault="00FE18FC" w:rsidP="00FE18FC">
      <w:pPr>
        <w:spacing w:line="380" w:lineRule="exact"/>
        <w:jc w:val="center"/>
        <w:rPr>
          <w:sz w:val="20"/>
          <w:szCs w:val="20"/>
        </w:rPr>
      </w:pPr>
      <w:r>
        <w:rPr>
          <w:noProof/>
        </w:rPr>
        <w:drawing>
          <wp:anchor distT="0" distB="0" distL="114300" distR="114300" simplePos="0" relativeHeight="251664384" behindDoc="1" locked="0" layoutInCell="1" allowOverlap="1" wp14:anchorId="43C45ABA" wp14:editId="41325B8C">
            <wp:simplePos x="0" y="0"/>
            <wp:positionH relativeFrom="column">
              <wp:posOffset>281388</wp:posOffset>
            </wp:positionH>
            <wp:positionV relativeFrom="paragraph">
              <wp:posOffset>124901</wp:posOffset>
            </wp:positionV>
            <wp:extent cx="2139899" cy="3600000"/>
            <wp:effectExtent l="0" t="0" r="0" b="63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39899" cy="3600000"/>
                    </a:xfrm>
                    <a:prstGeom prst="rect">
                      <a:avLst/>
                    </a:prstGeom>
                  </pic:spPr>
                </pic:pic>
              </a:graphicData>
            </a:graphic>
            <wp14:sizeRelH relativeFrom="page">
              <wp14:pctWidth>0</wp14:pctWidth>
            </wp14:sizeRelH>
            <wp14:sizeRelV relativeFrom="page">
              <wp14:pctHeight>0</wp14:pctHeight>
            </wp14:sizeRelV>
          </wp:anchor>
        </w:drawing>
      </w:r>
    </w:p>
    <w:p w14:paraId="768F5179" w14:textId="62FDC7E9" w:rsidR="00BD24CF" w:rsidRPr="006B0FBA" w:rsidRDefault="00BD24CF" w:rsidP="00FE18FC">
      <w:pPr>
        <w:spacing w:line="380" w:lineRule="exact"/>
        <w:jc w:val="center"/>
        <w:rPr>
          <w:sz w:val="20"/>
          <w:szCs w:val="20"/>
        </w:rPr>
      </w:pPr>
    </w:p>
    <w:p w14:paraId="453FBF20" w14:textId="042ACFED" w:rsidR="0021036E" w:rsidRDefault="0021036E" w:rsidP="00FE18FC">
      <w:pPr>
        <w:spacing w:line="380" w:lineRule="exact"/>
        <w:jc w:val="center"/>
        <w:rPr>
          <w:b/>
          <w:sz w:val="20"/>
          <w:szCs w:val="20"/>
        </w:rPr>
      </w:pPr>
    </w:p>
    <w:p w14:paraId="7D04A6B2" w14:textId="7B9DFF91" w:rsidR="0021036E" w:rsidRDefault="0021036E" w:rsidP="00FE18FC">
      <w:pPr>
        <w:spacing w:line="380" w:lineRule="exact"/>
        <w:jc w:val="center"/>
        <w:rPr>
          <w:b/>
          <w:sz w:val="20"/>
          <w:szCs w:val="20"/>
        </w:rPr>
      </w:pPr>
    </w:p>
    <w:p w14:paraId="4BE9B8B1" w14:textId="70638100" w:rsidR="0021036E" w:rsidRDefault="0021036E" w:rsidP="00FE18FC">
      <w:pPr>
        <w:spacing w:line="380" w:lineRule="exact"/>
        <w:jc w:val="center"/>
        <w:rPr>
          <w:b/>
          <w:sz w:val="20"/>
          <w:szCs w:val="20"/>
        </w:rPr>
      </w:pPr>
    </w:p>
    <w:p w14:paraId="3E478247" w14:textId="654A1C43" w:rsidR="0021036E" w:rsidRDefault="0021036E" w:rsidP="00FE18FC">
      <w:pPr>
        <w:spacing w:line="380" w:lineRule="exact"/>
        <w:jc w:val="center"/>
        <w:rPr>
          <w:b/>
          <w:sz w:val="20"/>
          <w:szCs w:val="20"/>
        </w:rPr>
      </w:pPr>
    </w:p>
    <w:p w14:paraId="1F8E25B0" w14:textId="59A6C236" w:rsidR="0021036E" w:rsidRDefault="0021036E" w:rsidP="00FE18FC">
      <w:pPr>
        <w:spacing w:line="380" w:lineRule="exact"/>
        <w:jc w:val="center"/>
        <w:rPr>
          <w:b/>
          <w:sz w:val="20"/>
          <w:szCs w:val="20"/>
        </w:rPr>
      </w:pPr>
    </w:p>
    <w:p w14:paraId="1AE3E776" w14:textId="59C8128E" w:rsidR="0021036E" w:rsidRDefault="0021036E" w:rsidP="00FE18FC">
      <w:pPr>
        <w:spacing w:line="380" w:lineRule="exact"/>
        <w:jc w:val="center"/>
        <w:rPr>
          <w:b/>
          <w:sz w:val="20"/>
          <w:szCs w:val="20"/>
        </w:rPr>
      </w:pPr>
    </w:p>
    <w:p w14:paraId="33D3E4F9" w14:textId="77777777" w:rsidR="0021036E" w:rsidRDefault="0021036E" w:rsidP="00FE18FC">
      <w:pPr>
        <w:spacing w:line="380" w:lineRule="exact"/>
        <w:jc w:val="center"/>
        <w:rPr>
          <w:b/>
          <w:sz w:val="20"/>
          <w:szCs w:val="20"/>
        </w:rPr>
      </w:pPr>
    </w:p>
    <w:p w14:paraId="27D88278" w14:textId="7A1EA8E1" w:rsidR="0021036E" w:rsidRDefault="0021036E" w:rsidP="00FE18FC">
      <w:pPr>
        <w:spacing w:line="380" w:lineRule="exact"/>
        <w:jc w:val="center"/>
        <w:rPr>
          <w:b/>
          <w:sz w:val="20"/>
          <w:szCs w:val="20"/>
        </w:rPr>
      </w:pPr>
    </w:p>
    <w:p w14:paraId="253DA5A6" w14:textId="66704A7D" w:rsidR="0021036E" w:rsidRDefault="0021036E" w:rsidP="00FE18FC">
      <w:pPr>
        <w:spacing w:line="380" w:lineRule="exact"/>
        <w:jc w:val="center"/>
        <w:rPr>
          <w:b/>
          <w:sz w:val="20"/>
          <w:szCs w:val="20"/>
        </w:rPr>
      </w:pPr>
    </w:p>
    <w:p w14:paraId="696D00B6" w14:textId="77777777" w:rsidR="0021036E" w:rsidRDefault="0021036E" w:rsidP="00FE18FC">
      <w:pPr>
        <w:spacing w:line="380" w:lineRule="exact"/>
        <w:jc w:val="center"/>
        <w:rPr>
          <w:b/>
          <w:sz w:val="20"/>
          <w:szCs w:val="20"/>
        </w:rPr>
      </w:pPr>
    </w:p>
    <w:p w14:paraId="2F2FD1F1" w14:textId="4744263D" w:rsidR="0021036E" w:rsidRDefault="0021036E" w:rsidP="00FE18FC">
      <w:pPr>
        <w:spacing w:line="380" w:lineRule="exact"/>
        <w:jc w:val="center"/>
        <w:rPr>
          <w:b/>
          <w:sz w:val="20"/>
          <w:szCs w:val="20"/>
        </w:rPr>
      </w:pPr>
    </w:p>
    <w:p w14:paraId="7DEC108B" w14:textId="272AD76A" w:rsidR="00FE18FC" w:rsidRDefault="00FE18FC" w:rsidP="00FE18FC">
      <w:pPr>
        <w:spacing w:line="380" w:lineRule="exact"/>
        <w:jc w:val="center"/>
        <w:rPr>
          <w:b/>
          <w:sz w:val="20"/>
          <w:szCs w:val="20"/>
        </w:rPr>
      </w:pPr>
    </w:p>
    <w:p w14:paraId="0489B8E3" w14:textId="24F3C939" w:rsidR="00FE18FC" w:rsidRDefault="00FE18FC" w:rsidP="00FE18FC">
      <w:pPr>
        <w:spacing w:line="380" w:lineRule="exact"/>
        <w:rPr>
          <w:b/>
          <w:sz w:val="20"/>
          <w:szCs w:val="20"/>
        </w:rPr>
      </w:pPr>
    </w:p>
    <w:p w14:paraId="377B5E3C" w14:textId="77777777" w:rsidR="00FE18FC" w:rsidRDefault="00FE18FC" w:rsidP="00FE18FC">
      <w:pPr>
        <w:spacing w:line="380" w:lineRule="exact"/>
        <w:rPr>
          <w:b/>
          <w:sz w:val="20"/>
          <w:szCs w:val="20"/>
        </w:rPr>
      </w:pPr>
    </w:p>
    <w:p w14:paraId="50AC7B80" w14:textId="4B3D1635" w:rsidR="0026076F" w:rsidRPr="006B0FBA" w:rsidRDefault="00181656" w:rsidP="00FE18FC">
      <w:pPr>
        <w:spacing w:line="380" w:lineRule="exact"/>
        <w:jc w:val="center"/>
        <w:rPr>
          <w:sz w:val="20"/>
          <w:szCs w:val="20"/>
        </w:rPr>
      </w:pPr>
      <w:r w:rsidRPr="00DD658A">
        <w:rPr>
          <w:rFonts w:hint="eastAsia"/>
          <w:b/>
          <w:sz w:val="20"/>
          <w:szCs w:val="20"/>
        </w:rPr>
        <w:t>F</w:t>
      </w:r>
      <w:r w:rsidRPr="00DD658A">
        <w:rPr>
          <w:b/>
          <w:sz w:val="20"/>
          <w:szCs w:val="20"/>
        </w:rPr>
        <w:t xml:space="preserve">ig. </w:t>
      </w:r>
      <w:r w:rsidR="0021036E">
        <w:rPr>
          <w:b/>
          <w:sz w:val="20"/>
          <w:szCs w:val="20"/>
        </w:rPr>
        <w:t>4</w:t>
      </w:r>
      <w:r w:rsidRPr="00BC54D6">
        <w:rPr>
          <w:b/>
          <w:sz w:val="20"/>
          <w:szCs w:val="20"/>
        </w:rPr>
        <w:t>.</w:t>
      </w:r>
      <w:r w:rsidRPr="006B0FBA">
        <w:rPr>
          <w:sz w:val="20"/>
          <w:szCs w:val="20"/>
        </w:rPr>
        <w:t xml:space="preserve"> </w:t>
      </w:r>
      <w:r w:rsidR="0021036E" w:rsidRPr="0021036E">
        <w:rPr>
          <w:sz w:val="20"/>
          <w:szCs w:val="20"/>
        </w:rPr>
        <w:t>Gas and water production profile in water dissolving</w:t>
      </w:r>
      <w:r w:rsidR="00C2409F">
        <w:rPr>
          <w:rFonts w:hint="eastAsia"/>
          <w:sz w:val="20"/>
          <w:szCs w:val="20"/>
        </w:rPr>
        <w:t xml:space="preserve"> </w:t>
      </w:r>
      <w:r w:rsidR="0021036E" w:rsidRPr="0021036E">
        <w:rPr>
          <w:sz w:val="20"/>
          <w:szCs w:val="20"/>
        </w:rPr>
        <w:t>from methane hydrate formation with different saturations</w:t>
      </w:r>
      <w:r w:rsidR="0026076F" w:rsidRPr="0026076F">
        <w:rPr>
          <w:sz w:val="20"/>
          <w:szCs w:val="20"/>
        </w:rPr>
        <w:t>(a) nominal hydrate saturation 10%; (b) nominal hydrate saturation 20%</w:t>
      </w:r>
    </w:p>
    <w:p w14:paraId="46E332D5" w14:textId="4432BDC9" w:rsidR="00B233BF" w:rsidRDefault="0026076F" w:rsidP="004F258B">
      <w:pPr>
        <w:spacing w:line="380" w:lineRule="exact"/>
        <w:rPr>
          <w:sz w:val="20"/>
          <w:szCs w:val="20"/>
        </w:rPr>
      </w:pPr>
      <w:r w:rsidRPr="0026076F">
        <w:rPr>
          <w:sz w:val="20"/>
          <w:szCs w:val="20"/>
        </w:rPr>
        <w:t xml:space="preserve">and the cumulative gas-liquid ratio is the volume ratio of the cumulative gas production to the cumulative liquid production at a certain moment. As can be seen from the figure, when the water is injected to dissolve, the change of gas-water ratio can be divided into three stages: the initial abnormally high gas-water ratio stage, the medium-term stable gas-liquid ratio stage, and the later gas-water ratio gradually decreasing stage; When dissolving, the change of gas-liquid ratio can be divided into three stages, the initial stage of gas-liquid ratio increase, the middle stage of steady gas-liquid ratio, and the later stage of decrease. Analysis suggests that the gas-liquid ratio is mainly affected by the type of fluid injected, injection rate, and hydrate saturation, and the highest value should correspond to its solubility. Because a small amount of methane gas remained in the joint at the outer end of the reactor during the generation process, or part of the methane </w:t>
      </w:r>
      <w:r w:rsidRPr="0026076F">
        <w:rPr>
          <w:sz w:val="20"/>
          <w:szCs w:val="20"/>
        </w:rPr>
        <w:lastRenderedPageBreak/>
        <w:t>gas was collected in the production pipeline joint during the dissolution process, the gas-liquid ratio in the experiment appeared abnormally high.</w:t>
      </w:r>
    </w:p>
    <w:p w14:paraId="3D9A110E" w14:textId="1D2F2016" w:rsidR="0026076F" w:rsidRPr="006B0FBA" w:rsidRDefault="0026076F" w:rsidP="00FE18FC">
      <w:pPr>
        <w:spacing w:line="380" w:lineRule="exact"/>
        <w:ind w:firstLineChars="200" w:firstLine="400"/>
        <w:rPr>
          <w:sz w:val="20"/>
          <w:szCs w:val="20"/>
        </w:rPr>
      </w:pPr>
      <w:r>
        <w:rPr>
          <w:sz w:val="20"/>
          <w:szCs w:val="20"/>
        </w:rPr>
        <w:t>……</w:t>
      </w:r>
    </w:p>
    <w:p w14:paraId="6C309F11" w14:textId="486A4753" w:rsidR="00170208" w:rsidRPr="008A633B" w:rsidRDefault="00E2119B" w:rsidP="00FE18FC">
      <w:pPr>
        <w:spacing w:line="380" w:lineRule="exact"/>
        <w:rPr>
          <w:b/>
          <w:szCs w:val="24"/>
        </w:rPr>
      </w:pPr>
      <w:r w:rsidRPr="008A633B">
        <w:rPr>
          <w:rFonts w:hint="eastAsia"/>
          <w:b/>
          <w:szCs w:val="24"/>
        </w:rPr>
        <w:t>4</w:t>
      </w:r>
      <w:r w:rsidRPr="008A633B">
        <w:rPr>
          <w:b/>
          <w:szCs w:val="24"/>
        </w:rPr>
        <w:t>. Conclusion</w:t>
      </w:r>
    </w:p>
    <w:p w14:paraId="101A1484" w14:textId="61E716C1" w:rsidR="008A633B" w:rsidRPr="006B0FBA" w:rsidRDefault="0026076F" w:rsidP="00FE18FC">
      <w:pPr>
        <w:spacing w:line="380" w:lineRule="exact"/>
        <w:ind w:firstLineChars="200" w:firstLine="400"/>
      </w:pPr>
      <w:r w:rsidRPr="0026076F">
        <w:rPr>
          <w:sz w:val="20"/>
          <w:szCs w:val="20"/>
        </w:rPr>
        <w:t>Under the experimental conditions in this paper, both deionized water and mineral white oil can effectively dissolve methane hydrate in quartz sand. The gas-liquid volume ratios of the initial produced fluids for water dissolution and oil dissolution are about 2 and 10, respectively. The cumulative gas production of water dissolving grows roughly logarithmically with time, the gas production rate fluctuates greatly but the overall gas-liquid ratio is basically stable and then gradually decreases; the cumulative gas production of oil dissolving grows in an S-shaped manner with time , The gas production rate fluctuates greatly as a whole, first increases and then gradually decreases, and the gas-liquid ratio first increases and then gradually decreases. At the same injection rate, the gas production rate and gas-liquid ratio of oil dissolution are significantly higher than that of water dissolution. The dissolution rate of hydrate is mainly affected by the type of dissolving medium and the contact between dissolving medium and hydrate. Water and oil are easy to penetrate in the quartz sand, forming a dominant seepage channel. It is feasible in principle to dissolve and extract natural gas hydrates in shallow layers or exposed on the seabed. It is recommended to continue systematic experiments and numerical simulation studies.</w:t>
      </w:r>
    </w:p>
    <w:p w14:paraId="19D67214" w14:textId="77777777" w:rsidR="000D2190" w:rsidRPr="008A633B" w:rsidRDefault="000D2190" w:rsidP="00FE18FC">
      <w:pPr>
        <w:spacing w:line="380" w:lineRule="exact"/>
        <w:rPr>
          <w:b/>
          <w:szCs w:val="24"/>
        </w:rPr>
      </w:pPr>
      <w:r w:rsidRPr="008A633B">
        <w:rPr>
          <w:b/>
          <w:szCs w:val="24"/>
        </w:rPr>
        <w:t>Acknowledgement</w:t>
      </w:r>
    </w:p>
    <w:p w14:paraId="52CC99C6" w14:textId="536CF5A9" w:rsidR="000D2190" w:rsidRDefault="000D2190" w:rsidP="00FE18FC">
      <w:pPr>
        <w:spacing w:line="380" w:lineRule="exact"/>
        <w:rPr>
          <w:sz w:val="20"/>
          <w:szCs w:val="20"/>
        </w:rPr>
      </w:pPr>
      <w:r w:rsidRPr="006B0FBA">
        <w:rPr>
          <w:sz w:val="20"/>
          <w:szCs w:val="20"/>
        </w:rPr>
        <w:t>The authors would like to appreciate</w:t>
      </w:r>
      <w:r w:rsidR="0026076F">
        <w:rPr>
          <w:sz w:val="20"/>
          <w:szCs w:val="20"/>
        </w:rPr>
        <w:t>….</w:t>
      </w:r>
      <w:r w:rsidRPr="006B0FBA">
        <w:rPr>
          <w:sz w:val="20"/>
          <w:szCs w:val="20"/>
        </w:rPr>
        <w:t>.</w:t>
      </w:r>
    </w:p>
    <w:p w14:paraId="16559F5D" w14:textId="1F6CF8CC" w:rsidR="0026076F" w:rsidRPr="008A633B" w:rsidRDefault="0026076F" w:rsidP="00FE18FC">
      <w:pPr>
        <w:spacing w:line="380" w:lineRule="exact"/>
        <w:rPr>
          <w:b/>
          <w:szCs w:val="24"/>
        </w:rPr>
      </w:pPr>
      <w:r w:rsidRPr="0026076F">
        <w:rPr>
          <w:b/>
          <w:szCs w:val="24"/>
        </w:rPr>
        <w:t>Symbol Description</w:t>
      </w:r>
    </w:p>
    <w:p w14:paraId="16192D90" w14:textId="5E4DAF25" w:rsidR="0026076F" w:rsidRDefault="0026076F" w:rsidP="00FE18FC">
      <w:pPr>
        <w:tabs>
          <w:tab w:val="left" w:pos="1440"/>
        </w:tabs>
        <w:spacing w:line="380" w:lineRule="exact"/>
        <w:jc w:val="left"/>
        <w:rPr>
          <w:sz w:val="20"/>
          <w:szCs w:val="20"/>
        </w:rPr>
      </w:pPr>
      <w:r>
        <w:rPr>
          <w:sz w:val="20"/>
          <w:szCs w:val="20"/>
        </w:rPr>
        <w:tab/>
      </w:r>
      <w:r>
        <w:rPr>
          <w:rFonts w:hint="eastAsia"/>
          <w:sz w:val="20"/>
          <w:szCs w:val="20"/>
        </w:rPr>
        <w:t>H</w:t>
      </w:r>
      <w:r>
        <w:rPr>
          <w:rFonts w:hint="eastAsia"/>
          <w:sz w:val="20"/>
          <w:szCs w:val="20"/>
        </w:rPr>
        <w:t>—</w:t>
      </w:r>
      <w:r>
        <w:rPr>
          <w:sz w:val="20"/>
          <w:szCs w:val="20"/>
        </w:rPr>
        <w:t>H</w:t>
      </w:r>
      <w:r>
        <w:rPr>
          <w:rFonts w:hint="eastAsia"/>
          <w:sz w:val="20"/>
          <w:szCs w:val="20"/>
        </w:rPr>
        <w:t>ydrate</w:t>
      </w:r>
    </w:p>
    <w:p w14:paraId="3E65F0B2" w14:textId="4C544612" w:rsidR="0026076F" w:rsidRDefault="0026076F" w:rsidP="00FE18FC">
      <w:pPr>
        <w:tabs>
          <w:tab w:val="left" w:pos="1440"/>
        </w:tabs>
        <w:spacing w:line="380" w:lineRule="exact"/>
        <w:jc w:val="left"/>
        <w:rPr>
          <w:sz w:val="20"/>
          <w:szCs w:val="20"/>
        </w:rPr>
      </w:pPr>
      <w:r>
        <w:rPr>
          <w:sz w:val="20"/>
          <w:szCs w:val="20"/>
        </w:rPr>
        <w:tab/>
        <w:t>T</w:t>
      </w:r>
      <w:r>
        <w:rPr>
          <w:rFonts w:hint="eastAsia"/>
          <w:sz w:val="20"/>
          <w:szCs w:val="20"/>
        </w:rPr>
        <w:t>—</w:t>
      </w:r>
      <w:r>
        <w:rPr>
          <w:sz w:val="20"/>
          <w:szCs w:val="20"/>
        </w:rPr>
        <w:t>T</w:t>
      </w:r>
      <w:r>
        <w:rPr>
          <w:rFonts w:hint="eastAsia"/>
          <w:sz w:val="20"/>
          <w:szCs w:val="20"/>
        </w:rPr>
        <w:t>emperature</w:t>
      </w:r>
    </w:p>
    <w:p w14:paraId="581103EE" w14:textId="43D03E8F" w:rsidR="0026076F" w:rsidRPr="0026076F" w:rsidRDefault="0026076F" w:rsidP="00FE18FC">
      <w:pPr>
        <w:tabs>
          <w:tab w:val="left" w:pos="1440"/>
        </w:tabs>
        <w:spacing w:line="380" w:lineRule="exact"/>
        <w:jc w:val="left"/>
        <w:rPr>
          <w:sz w:val="20"/>
          <w:szCs w:val="20"/>
        </w:rPr>
      </w:pPr>
      <w:r>
        <w:rPr>
          <w:sz w:val="20"/>
          <w:szCs w:val="20"/>
        </w:rPr>
        <w:tab/>
        <w:t>……</w:t>
      </w:r>
    </w:p>
    <w:p w14:paraId="538E6AB1" w14:textId="6BE8DB1D" w:rsidR="000573C3" w:rsidRPr="008A633B" w:rsidRDefault="00AF2980" w:rsidP="00FE18FC">
      <w:pPr>
        <w:spacing w:line="380" w:lineRule="exact"/>
        <w:rPr>
          <w:b/>
          <w:szCs w:val="24"/>
        </w:rPr>
      </w:pPr>
      <w:r w:rsidRPr="008A633B">
        <w:rPr>
          <w:b/>
          <w:szCs w:val="24"/>
        </w:rPr>
        <w:t>R</w:t>
      </w:r>
      <w:r w:rsidR="008A633B" w:rsidRPr="008A633B">
        <w:rPr>
          <w:b/>
          <w:szCs w:val="24"/>
        </w:rPr>
        <w:t>eference</w:t>
      </w:r>
    </w:p>
    <w:p w14:paraId="4356DCAD" w14:textId="687AA225" w:rsidR="0026076F" w:rsidRDefault="0026076F" w:rsidP="00FE18FC">
      <w:pPr>
        <w:pStyle w:val="ac"/>
        <w:numPr>
          <w:ilvl w:val="0"/>
          <w:numId w:val="2"/>
        </w:numPr>
        <w:spacing w:line="380" w:lineRule="exact"/>
        <w:ind w:firstLineChars="0"/>
        <w:rPr>
          <w:sz w:val="20"/>
          <w:szCs w:val="20"/>
        </w:rPr>
      </w:pPr>
      <w:bookmarkStart w:id="1" w:name="_Ref87516224"/>
      <w:r w:rsidRPr="0026076F">
        <w:rPr>
          <w:sz w:val="20"/>
          <w:szCs w:val="20"/>
        </w:rPr>
        <w:t>British Petroleum. Energy outlook 2020 edition[R]. London: BP,</w:t>
      </w:r>
      <w:r>
        <w:rPr>
          <w:rFonts w:hint="eastAsia"/>
          <w:sz w:val="20"/>
          <w:szCs w:val="20"/>
        </w:rPr>
        <w:t xml:space="preserve"> </w:t>
      </w:r>
      <w:r w:rsidRPr="0026076F">
        <w:rPr>
          <w:sz w:val="20"/>
          <w:szCs w:val="20"/>
        </w:rPr>
        <w:t>2020.</w:t>
      </w:r>
    </w:p>
    <w:p w14:paraId="43AB5C34" w14:textId="6C1D8F65" w:rsidR="0026076F" w:rsidRDefault="0026076F" w:rsidP="00FE18FC">
      <w:pPr>
        <w:pStyle w:val="ac"/>
        <w:numPr>
          <w:ilvl w:val="0"/>
          <w:numId w:val="2"/>
        </w:numPr>
        <w:spacing w:line="380" w:lineRule="exact"/>
        <w:ind w:firstLineChars="0"/>
        <w:rPr>
          <w:sz w:val="20"/>
          <w:szCs w:val="20"/>
        </w:rPr>
      </w:pPr>
      <w:r w:rsidRPr="0026076F">
        <w:rPr>
          <w:sz w:val="20"/>
          <w:szCs w:val="20"/>
        </w:rPr>
        <w:t>Sloan E D, Koa C A. Clathrate Hydrates of Natural Gases[M]. 3</w:t>
      </w:r>
      <w:r w:rsidRPr="0026076F">
        <w:rPr>
          <w:sz w:val="20"/>
          <w:szCs w:val="20"/>
          <w:vertAlign w:val="superscript"/>
        </w:rPr>
        <w:t>rd</w:t>
      </w:r>
      <w:r>
        <w:rPr>
          <w:rFonts w:hint="eastAsia"/>
          <w:sz w:val="20"/>
          <w:szCs w:val="20"/>
        </w:rPr>
        <w:t xml:space="preserve"> </w:t>
      </w:r>
      <w:r w:rsidRPr="0026076F">
        <w:rPr>
          <w:sz w:val="20"/>
          <w:szCs w:val="20"/>
        </w:rPr>
        <w:t>ed. Boca Raton, FL: CRC Press, 2007.</w:t>
      </w:r>
    </w:p>
    <w:p w14:paraId="45130868" w14:textId="458A67DA" w:rsidR="0026076F" w:rsidRDefault="0026076F" w:rsidP="00FE18FC">
      <w:pPr>
        <w:pStyle w:val="ac"/>
        <w:numPr>
          <w:ilvl w:val="0"/>
          <w:numId w:val="2"/>
        </w:numPr>
        <w:spacing w:line="380" w:lineRule="exact"/>
        <w:ind w:firstLineChars="0"/>
        <w:rPr>
          <w:sz w:val="20"/>
          <w:szCs w:val="20"/>
        </w:rPr>
      </w:pPr>
      <w:r w:rsidRPr="0026076F">
        <w:rPr>
          <w:sz w:val="20"/>
          <w:szCs w:val="20"/>
        </w:rPr>
        <w:t>Boswell R, Collett T S. Current perspectives on gas hydrate</w:t>
      </w:r>
      <w:r>
        <w:rPr>
          <w:rFonts w:hint="eastAsia"/>
          <w:sz w:val="20"/>
          <w:szCs w:val="20"/>
        </w:rPr>
        <w:t xml:space="preserve"> </w:t>
      </w:r>
      <w:r w:rsidRPr="0026076F">
        <w:rPr>
          <w:sz w:val="20"/>
          <w:szCs w:val="20"/>
        </w:rPr>
        <w:t xml:space="preserve">resources[J]. Energy Environ. Sci., 2011, </w:t>
      </w:r>
      <w:r w:rsidRPr="0026076F">
        <w:rPr>
          <w:b/>
          <w:sz w:val="20"/>
          <w:szCs w:val="20"/>
        </w:rPr>
        <w:t>4</w:t>
      </w:r>
      <w:r w:rsidRPr="0026076F">
        <w:rPr>
          <w:sz w:val="20"/>
          <w:szCs w:val="20"/>
        </w:rPr>
        <w:t>(4): 1206-1215.</w:t>
      </w:r>
    </w:p>
    <w:p w14:paraId="69BEE16C" w14:textId="7C9D487B" w:rsidR="0026076F" w:rsidRDefault="0026076F" w:rsidP="00FE18FC">
      <w:pPr>
        <w:pStyle w:val="ac"/>
        <w:numPr>
          <w:ilvl w:val="0"/>
          <w:numId w:val="2"/>
        </w:numPr>
        <w:spacing w:line="380" w:lineRule="exact"/>
        <w:ind w:firstLineChars="0"/>
        <w:rPr>
          <w:sz w:val="20"/>
          <w:szCs w:val="20"/>
        </w:rPr>
      </w:pPr>
      <w:r w:rsidRPr="0026076F">
        <w:rPr>
          <w:sz w:val="20"/>
          <w:szCs w:val="20"/>
        </w:rPr>
        <w:t>Chen L T. Study on the formation conditions and kinetic behavior</w:t>
      </w:r>
      <w:r>
        <w:rPr>
          <w:rFonts w:hint="eastAsia"/>
          <w:sz w:val="20"/>
          <w:szCs w:val="20"/>
        </w:rPr>
        <w:t xml:space="preserve"> </w:t>
      </w:r>
      <w:r w:rsidRPr="0026076F">
        <w:rPr>
          <w:sz w:val="20"/>
          <w:szCs w:val="20"/>
        </w:rPr>
        <w:t>of gas hydrate in porous media[D]. Beijing: China University of</w:t>
      </w:r>
      <w:r>
        <w:rPr>
          <w:rFonts w:hint="eastAsia"/>
          <w:sz w:val="20"/>
          <w:szCs w:val="20"/>
        </w:rPr>
        <w:t xml:space="preserve"> </w:t>
      </w:r>
      <w:r w:rsidRPr="0026076F">
        <w:rPr>
          <w:sz w:val="20"/>
          <w:szCs w:val="20"/>
        </w:rPr>
        <w:t>Petroleum (Beijing), 2011.</w:t>
      </w:r>
    </w:p>
    <w:p w14:paraId="38F2A220" w14:textId="11DF1E37" w:rsidR="0026076F" w:rsidRDefault="0026076F" w:rsidP="00FE18FC">
      <w:pPr>
        <w:pStyle w:val="ac"/>
        <w:numPr>
          <w:ilvl w:val="0"/>
          <w:numId w:val="2"/>
        </w:numPr>
        <w:spacing w:line="380" w:lineRule="exact"/>
        <w:ind w:firstLineChars="0"/>
        <w:rPr>
          <w:sz w:val="20"/>
          <w:szCs w:val="20"/>
        </w:rPr>
      </w:pPr>
      <w:r w:rsidRPr="0026076F">
        <w:rPr>
          <w:sz w:val="20"/>
          <w:szCs w:val="20"/>
        </w:rPr>
        <w:t>Chen L T, Zhou W T, Zhang N T, et al. Methods of gas hydrate</w:t>
      </w:r>
      <w:r>
        <w:rPr>
          <w:rFonts w:hint="eastAsia"/>
          <w:sz w:val="20"/>
          <w:szCs w:val="20"/>
        </w:rPr>
        <w:t xml:space="preserve"> </w:t>
      </w:r>
      <w:r w:rsidRPr="0026076F">
        <w:rPr>
          <w:sz w:val="20"/>
          <w:szCs w:val="20"/>
        </w:rPr>
        <w:t>exploitation: 201910108515.6[P]. 2020-04-17.</w:t>
      </w:r>
    </w:p>
    <w:p w14:paraId="42D052B5" w14:textId="3B69AEB8" w:rsidR="0026076F" w:rsidRPr="0026076F" w:rsidRDefault="0026076F" w:rsidP="00FE18FC">
      <w:pPr>
        <w:pStyle w:val="ac"/>
        <w:numPr>
          <w:ilvl w:val="0"/>
          <w:numId w:val="2"/>
        </w:numPr>
        <w:spacing w:line="380" w:lineRule="exact"/>
        <w:ind w:firstLineChars="0"/>
        <w:rPr>
          <w:sz w:val="20"/>
          <w:szCs w:val="20"/>
        </w:rPr>
      </w:pPr>
      <w:r w:rsidRPr="0026076F">
        <w:rPr>
          <w:sz w:val="20"/>
          <w:szCs w:val="20"/>
        </w:rPr>
        <w:t>……</w:t>
      </w:r>
      <w:bookmarkEnd w:id="1"/>
    </w:p>
    <w:sectPr w:rsidR="0026076F" w:rsidRPr="0026076F" w:rsidSect="00C2409F">
      <w:footerReference w:type="default" r:id="rId16"/>
      <w:type w:val="continuous"/>
      <w:pgSz w:w="11906" w:h="16838"/>
      <w:pgMar w:top="907" w:right="1418" w:bottom="907" w:left="1418" w:header="851" w:footer="567" w:gutter="0"/>
      <w:pgNumType w:start="3"/>
      <w:cols w:num="2"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F71080" w14:textId="77777777" w:rsidR="00857B5E" w:rsidRDefault="00857B5E" w:rsidP="00163BB8">
      <w:r>
        <w:separator/>
      </w:r>
    </w:p>
  </w:endnote>
  <w:endnote w:type="continuationSeparator" w:id="0">
    <w:p w14:paraId="31783CB9" w14:textId="77777777" w:rsidR="00857B5E" w:rsidRDefault="00857B5E" w:rsidP="00163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23366" w14:textId="77777777" w:rsidR="006616DA" w:rsidRDefault="006616DA">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3387052"/>
      <w:docPartObj>
        <w:docPartGallery w:val="Page Numbers (Bottom of Page)"/>
        <w:docPartUnique/>
      </w:docPartObj>
    </w:sdtPr>
    <w:sdtEndPr/>
    <w:sdtContent>
      <w:p w14:paraId="1B9AB843" w14:textId="5BF1E2FD" w:rsidR="002923E1" w:rsidRDefault="00ED52E7" w:rsidP="00ED52E7">
        <w:pPr>
          <w:pStyle w:val="a6"/>
          <w:jc w:val="center"/>
        </w:pPr>
        <w:r>
          <w:fldChar w:fldCharType="begin"/>
        </w:r>
        <w:r>
          <w:instrText>PAGE   \* MERGEFORMAT</w:instrText>
        </w:r>
        <w:r>
          <w:fldChar w:fldCharType="separate"/>
        </w:r>
        <w:r w:rsidR="004623B6" w:rsidRPr="004623B6">
          <w:rPr>
            <w:noProof/>
            <w:lang w:val="zh-CN"/>
          </w:rP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11324" w14:textId="77777777" w:rsidR="006616DA" w:rsidRDefault="006616DA">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5985230"/>
      <w:docPartObj>
        <w:docPartGallery w:val="Page Numbers (Bottom of Page)"/>
        <w:docPartUnique/>
      </w:docPartObj>
    </w:sdtPr>
    <w:sdtEndPr/>
    <w:sdtContent>
      <w:p w14:paraId="27B58D37" w14:textId="1AC3E98F" w:rsidR="00ED52E7" w:rsidRDefault="00ED52E7" w:rsidP="00ED52E7">
        <w:pPr>
          <w:pStyle w:val="a6"/>
          <w:jc w:val="center"/>
        </w:pPr>
        <w:r>
          <w:fldChar w:fldCharType="begin"/>
        </w:r>
        <w:r>
          <w:instrText>PAGE   \* MERGEFORMAT</w:instrText>
        </w:r>
        <w:r>
          <w:fldChar w:fldCharType="separate"/>
        </w:r>
        <w:r w:rsidR="004623B6" w:rsidRPr="004623B6">
          <w:rPr>
            <w:noProof/>
            <w:lang w:val="zh-CN"/>
          </w:rPr>
          <w:t>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827627" w14:textId="77777777" w:rsidR="00857B5E" w:rsidRDefault="00857B5E" w:rsidP="00163BB8">
      <w:r>
        <w:separator/>
      </w:r>
    </w:p>
  </w:footnote>
  <w:footnote w:type="continuationSeparator" w:id="0">
    <w:p w14:paraId="25612CFE" w14:textId="77777777" w:rsidR="00857B5E" w:rsidRDefault="00857B5E" w:rsidP="00163BB8">
      <w:r>
        <w:continuationSeparator/>
      </w:r>
    </w:p>
  </w:footnote>
  <w:footnote w:id="1">
    <w:p w14:paraId="704FF0A4" w14:textId="5E276CB2" w:rsidR="00F920C0" w:rsidRDefault="00F920C0" w:rsidP="00C149F7">
      <w:pPr>
        <w:pStyle w:val="a9"/>
      </w:pPr>
      <w:r>
        <w:rPr>
          <w:rStyle w:val="ab"/>
        </w:rPr>
        <w:t>*</w:t>
      </w:r>
      <w:r>
        <w:t xml:space="preserve"> Corresponding author.</w:t>
      </w:r>
    </w:p>
    <w:p w14:paraId="45CFB698" w14:textId="09F82568" w:rsidR="00F920C0" w:rsidRDefault="007F4053" w:rsidP="00371D80">
      <w:pPr>
        <w:pStyle w:val="a9"/>
      </w:pPr>
      <w:r>
        <w:t xml:space="preserve">Prof. </w:t>
      </w:r>
      <w:r w:rsidR="00371D80">
        <w:t>Sun Baojiang, E-mail: sunbj1128@vip.126.com</w:t>
      </w:r>
    </w:p>
  </w:footnote>
  <w:footnote w:id="2">
    <w:p w14:paraId="537A4421" w14:textId="541645E1" w:rsidR="00371D80" w:rsidRPr="003879E5" w:rsidRDefault="007F4053" w:rsidP="00371D80">
      <w:pPr>
        <w:pStyle w:val="a9"/>
      </w:pPr>
      <w:r>
        <w:t xml:space="preserve">Prof. </w:t>
      </w:r>
      <w:r w:rsidR="007B02C8" w:rsidRPr="00371D80">
        <w:t xml:space="preserve">Lu Hailong, </w:t>
      </w:r>
      <w:r>
        <w:t xml:space="preserve">E-mail: </w:t>
      </w:r>
      <w:r w:rsidR="007B02C8" w:rsidRPr="00371D80">
        <w:t>hlu@pku.edu.cn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7B1CE" w14:textId="77777777" w:rsidR="006616DA" w:rsidRDefault="006616DA">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9FAC6" w14:textId="2BA349B3" w:rsidR="005326B6" w:rsidRDefault="00ED52E7" w:rsidP="005326B6">
    <w:pPr>
      <w:pStyle w:val="a4"/>
      <w:rPr>
        <w:sz w:val="20"/>
        <w:szCs w:val="20"/>
      </w:rPr>
    </w:pPr>
    <w:r w:rsidRPr="005326B6">
      <w:rPr>
        <w:sz w:val="20"/>
        <w:szCs w:val="20"/>
      </w:rPr>
      <w:t xml:space="preserve">The </w:t>
    </w:r>
    <w:r w:rsidR="006616DA">
      <w:rPr>
        <w:rFonts w:hint="eastAsia"/>
        <w:sz w:val="20"/>
        <w:szCs w:val="20"/>
      </w:rPr>
      <w:t>Sixt</w:t>
    </w:r>
    <w:r w:rsidR="008E335F">
      <w:rPr>
        <w:rFonts w:hint="eastAsia"/>
        <w:sz w:val="20"/>
        <w:szCs w:val="20"/>
      </w:rPr>
      <w:t>h</w:t>
    </w:r>
    <w:r w:rsidRPr="005326B6">
      <w:rPr>
        <w:sz w:val="20"/>
        <w:szCs w:val="20"/>
      </w:rPr>
      <w:t xml:space="preserve"> International Technical Symposium on Deepwater Oil and Gas Engineering &amp; the </w:t>
    </w:r>
    <w:r w:rsidR="008E335F" w:rsidRPr="005326B6">
      <w:rPr>
        <w:sz w:val="20"/>
        <w:szCs w:val="20"/>
      </w:rPr>
      <w:t>F</w:t>
    </w:r>
    <w:r w:rsidR="006616DA">
      <w:rPr>
        <w:rFonts w:hint="eastAsia"/>
        <w:sz w:val="20"/>
        <w:szCs w:val="20"/>
      </w:rPr>
      <w:t>if</w:t>
    </w:r>
    <w:r w:rsidR="008E335F" w:rsidRPr="005326B6">
      <w:rPr>
        <w:sz w:val="20"/>
        <w:szCs w:val="20"/>
      </w:rPr>
      <w:t>th</w:t>
    </w:r>
    <w:r w:rsidRPr="005326B6">
      <w:rPr>
        <w:sz w:val="20"/>
        <w:szCs w:val="20"/>
      </w:rPr>
      <w:t xml:space="preserve"> International </w:t>
    </w:r>
  </w:p>
  <w:p w14:paraId="457BA2E8" w14:textId="11A52FA1" w:rsidR="00ED52E7" w:rsidRPr="001B5247" w:rsidRDefault="00ED52E7" w:rsidP="001B5247">
    <w:pPr>
      <w:pStyle w:val="a4"/>
      <w:rPr>
        <w:rFonts w:hint="eastAsia"/>
        <w:sz w:val="20"/>
        <w:szCs w:val="20"/>
      </w:rPr>
    </w:pPr>
    <w:r w:rsidRPr="005326B6">
      <w:rPr>
        <w:sz w:val="20"/>
        <w:szCs w:val="20"/>
      </w:rPr>
      <w:t>Youth Forum on Gas Hydrate,</w:t>
    </w:r>
    <w:r w:rsidRPr="005326B6">
      <w:rPr>
        <w:rFonts w:hint="eastAsia"/>
        <w:sz w:val="20"/>
        <w:szCs w:val="20"/>
      </w:rPr>
      <w:t xml:space="preserve"> </w:t>
    </w:r>
    <w:r w:rsidR="001B5247">
      <w:rPr>
        <w:sz w:val="20"/>
        <w:szCs w:val="20"/>
      </w:rPr>
      <w:t>Zhuhai, Guangdong, China, November 26-28,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73612" w14:textId="77777777" w:rsidR="006616DA" w:rsidRDefault="006616DA">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24FB8"/>
    <w:multiLevelType w:val="hybridMultilevel"/>
    <w:tmpl w:val="D0DAEC1A"/>
    <w:lvl w:ilvl="0" w:tplc="F2FC7870">
      <w:start w:val="1"/>
      <w:numFmt w:val="decimal"/>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18849F3"/>
    <w:multiLevelType w:val="hybridMultilevel"/>
    <w:tmpl w:val="363AD224"/>
    <w:lvl w:ilvl="0" w:tplc="2BB0835A">
      <w:start w:val="1"/>
      <w:numFmt w:val="decimal"/>
      <w:suff w:val="space"/>
      <w:lvlText w:val="[%1]"/>
      <w:lvlJc w:val="left"/>
      <w:pPr>
        <w:ind w:left="0" w:firstLine="0"/>
      </w:pPr>
      <w:rPr>
        <w:rFonts w:hint="eastAsia"/>
        <w:i w:val="0"/>
        <w:sz w:val="20"/>
        <w:szCs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rswaeexv5wdbetv0i5e9fct2d02vdzdr02&quot;&gt;cold energy&lt;record-ids&gt;&lt;item&gt;142&lt;/item&gt;&lt;/record-ids&gt;&lt;/item&gt;&lt;/Libraries&gt;"/>
  </w:docVars>
  <w:rsids>
    <w:rsidRoot w:val="00812CFE"/>
    <w:rsid w:val="00006EF3"/>
    <w:rsid w:val="00007D1D"/>
    <w:rsid w:val="00010F1E"/>
    <w:rsid w:val="000367AE"/>
    <w:rsid w:val="00041872"/>
    <w:rsid w:val="000573C3"/>
    <w:rsid w:val="00061BD2"/>
    <w:rsid w:val="000642BB"/>
    <w:rsid w:val="00070031"/>
    <w:rsid w:val="00070979"/>
    <w:rsid w:val="00073C71"/>
    <w:rsid w:val="00076B76"/>
    <w:rsid w:val="00095112"/>
    <w:rsid w:val="00095610"/>
    <w:rsid w:val="000A34D0"/>
    <w:rsid w:val="000A5F47"/>
    <w:rsid w:val="000A5FA5"/>
    <w:rsid w:val="000A759A"/>
    <w:rsid w:val="000A79FD"/>
    <w:rsid w:val="000D2190"/>
    <w:rsid w:val="000E5AF3"/>
    <w:rsid w:val="000F2AB8"/>
    <w:rsid w:val="000F4434"/>
    <w:rsid w:val="000F7C55"/>
    <w:rsid w:val="0010476F"/>
    <w:rsid w:val="00120457"/>
    <w:rsid w:val="00122DB0"/>
    <w:rsid w:val="001248EF"/>
    <w:rsid w:val="001424B8"/>
    <w:rsid w:val="00155A55"/>
    <w:rsid w:val="00162F97"/>
    <w:rsid w:val="00163BB8"/>
    <w:rsid w:val="001649DA"/>
    <w:rsid w:val="00170208"/>
    <w:rsid w:val="0017272D"/>
    <w:rsid w:val="001739A4"/>
    <w:rsid w:val="00177317"/>
    <w:rsid w:val="001774CA"/>
    <w:rsid w:val="00180865"/>
    <w:rsid w:val="00181656"/>
    <w:rsid w:val="0018332B"/>
    <w:rsid w:val="00186E3D"/>
    <w:rsid w:val="00196D98"/>
    <w:rsid w:val="00197EF7"/>
    <w:rsid w:val="001A484B"/>
    <w:rsid w:val="001A5FD7"/>
    <w:rsid w:val="001A7560"/>
    <w:rsid w:val="001B2693"/>
    <w:rsid w:val="001B4932"/>
    <w:rsid w:val="001B5247"/>
    <w:rsid w:val="001C3B64"/>
    <w:rsid w:val="001C4C26"/>
    <w:rsid w:val="001C7204"/>
    <w:rsid w:val="001C79C8"/>
    <w:rsid w:val="001D20FD"/>
    <w:rsid w:val="001D5AE7"/>
    <w:rsid w:val="002023F9"/>
    <w:rsid w:val="0021036E"/>
    <w:rsid w:val="00213A57"/>
    <w:rsid w:val="00235647"/>
    <w:rsid w:val="00235D67"/>
    <w:rsid w:val="002405B1"/>
    <w:rsid w:val="00240B2A"/>
    <w:rsid w:val="002435A7"/>
    <w:rsid w:val="00252CD9"/>
    <w:rsid w:val="0026013D"/>
    <w:rsid w:val="0026076F"/>
    <w:rsid w:val="00264408"/>
    <w:rsid w:val="00277C32"/>
    <w:rsid w:val="00282463"/>
    <w:rsid w:val="002923E1"/>
    <w:rsid w:val="002B190B"/>
    <w:rsid w:val="002B5C97"/>
    <w:rsid w:val="002C7317"/>
    <w:rsid w:val="002E064B"/>
    <w:rsid w:val="002E0848"/>
    <w:rsid w:val="002E1974"/>
    <w:rsid w:val="002E1C08"/>
    <w:rsid w:val="002F038C"/>
    <w:rsid w:val="002F1BC0"/>
    <w:rsid w:val="002F4ED3"/>
    <w:rsid w:val="00301345"/>
    <w:rsid w:val="003200E1"/>
    <w:rsid w:val="003210C9"/>
    <w:rsid w:val="00341DE3"/>
    <w:rsid w:val="00346575"/>
    <w:rsid w:val="00346739"/>
    <w:rsid w:val="00351817"/>
    <w:rsid w:val="0035581B"/>
    <w:rsid w:val="003604D9"/>
    <w:rsid w:val="003647CD"/>
    <w:rsid w:val="00371D80"/>
    <w:rsid w:val="00375E3F"/>
    <w:rsid w:val="00383461"/>
    <w:rsid w:val="00383F64"/>
    <w:rsid w:val="003842FB"/>
    <w:rsid w:val="003879E5"/>
    <w:rsid w:val="00390AB3"/>
    <w:rsid w:val="003942C9"/>
    <w:rsid w:val="00397483"/>
    <w:rsid w:val="003A0C44"/>
    <w:rsid w:val="003A72BF"/>
    <w:rsid w:val="003B2E4A"/>
    <w:rsid w:val="003B5612"/>
    <w:rsid w:val="003D022F"/>
    <w:rsid w:val="003D023A"/>
    <w:rsid w:val="003D31FA"/>
    <w:rsid w:val="003E0E3C"/>
    <w:rsid w:val="003E2398"/>
    <w:rsid w:val="003E5673"/>
    <w:rsid w:val="003F1FCA"/>
    <w:rsid w:val="003F7439"/>
    <w:rsid w:val="004075DD"/>
    <w:rsid w:val="00424366"/>
    <w:rsid w:val="0042530F"/>
    <w:rsid w:val="00425B31"/>
    <w:rsid w:val="00432149"/>
    <w:rsid w:val="00435FA9"/>
    <w:rsid w:val="0044192B"/>
    <w:rsid w:val="00442C79"/>
    <w:rsid w:val="00452869"/>
    <w:rsid w:val="004561F0"/>
    <w:rsid w:val="00457313"/>
    <w:rsid w:val="004623B6"/>
    <w:rsid w:val="00464921"/>
    <w:rsid w:val="004813A7"/>
    <w:rsid w:val="00487779"/>
    <w:rsid w:val="004B3FAC"/>
    <w:rsid w:val="004C5C41"/>
    <w:rsid w:val="004D5E18"/>
    <w:rsid w:val="004E285E"/>
    <w:rsid w:val="004F258B"/>
    <w:rsid w:val="004F6CBB"/>
    <w:rsid w:val="0050547C"/>
    <w:rsid w:val="005075A2"/>
    <w:rsid w:val="005109A4"/>
    <w:rsid w:val="005136EC"/>
    <w:rsid w:val="005137A1"/>
    <w:rsid w:val="005147B0"/>
    <w:rsid w:val="005201D5"/>
    <w:rsid w:val="00522827"/>
    <w:rsid w:val="00524D83"/>
    <w:rsid w:val="005326B6"/>
    <w:rsid w:val="00533F30"/>
    <w:rsid w:val="00534ED8"/>
    <w:rsid w:val="00544A92"/>
    <w:rsid w:val="00551BFD"/>
    <w:rsid w:val="0055568D"/>
    <w:rsid w:val="005669B5"/>
    <w:rsid w:val="0057211E"/>
    <w:rsid w:val="00580037"/>
    <w:rsid w:val="00581968"/>
    <w:rsid w:val="005822D5"/>
    <w:rsid w:val="00584232"/>
    <w:rsid w:val="005905DF"/>
    <w:rsid w:val="0059560D"/>
    <w:rsid w:val="00597B7F"/>
    <w:rsid w:val="005A0C92"/>
    <w:rsid w:val="005A16B9"/>
    <w:rsid w:val="005A6830"/>
    <w:rsid w:val="005B62C2"/>
    <w:rsid w:val="005B668F"/>
    <w:rsid w:val="005C0B64"/>
    <w:rsid w:val="005C58DE"/>
    <w:rsid w:val="005D0A0E"/>
    <w:rsid w:val="005E5EE0"/>
    <w:rsid w:val="005F08E4"/>
    <w:rsid w:val="005F7C36"/>
    <w:rsid w:val="006012D2"/>
    <w:rsid w:val="0060156B"/>
    <w:rsid w:val="00604C3B"/>
    <w:rsid w:val="00604FA4"/>
    <w:rsid w:val="00610F6C"/>
    <w:rsid w:val="00620AE0"/>
    <w:rsid w:val="00620F63"/>
    <w:rsid w:val="00621DA8"/>
    <w:rsid w:val="00635E63"/>
    <w:rsid w:val="00642838"/>
    <w:rsid w:val="006519BA"/>
    <w:rsid w:val="006616DA"/>
    <w:rsid w:val="00661CB6"/>
    <w:rsid w:val="006621E4"/>
    <w:rsid w:val="00687749"/>
    <w:rsid w:val="006915E5"/>
    <w:rsid w:val="006931BE"/>
    <w:rsid w:val="0069411F"/>
    <w:rsid w:val="006B0FBA"/>
    <w:rsid w:val="006D21EE"/>
    <w:rsid w:val="006D49D4"/>
    <w:rsid w:val="006D6EE9"/>
    <w:rsid w:val="006E048C"/>
    <w:rsid w:val="006E37AE"/>
    <w:rsid w:val="006E74D5"/>
    <w:rsid w:val="006F7D44"/>
    <w:rsid w:val="00700BCD"/>
    <w:rsid w:val="00702316"/>
    <w:rsid w:val="0070772E"/>
    <w:rsid w:val="00711A3B"/>
    <w:rsid w:val="00714C28"/>
    <w:rsid w:val="00715329"/>
    <w:rsid w:val="007252B3"/>
    <w:rsid w:val="00727801"/>
    <w:rsid w:val="007318C2"/>
    <w:rsid w:val="00734558"/>
    <w:rsid w:val="00740235"/>
    <w:rsid w:val="0074134A"/>
    <w:rsid w:val="0074691A"/>
    <w:rsid w:val="00756432"/>
    <w:rsid w:val="00760382"/>
    <w:rsid w:val="00760C45"/>
    <w:rsid w:val="007647CA"/>
    <w:rsid w:val="007812F6"/>
    <w:rsid w:val="00783052"/>
    <w:rsid w:val="00790379"/>
    <w:rsid w:val="0079073D"/>
    <w:rsid w:val="00791519"/>
    <w:rsid w:val="00793497"/>
    <w:rsid w:val="007B02C8"/>
    <w:rsid w:val="007B65BF"/>
    <w:rsid w:val="007C04BA"/>
    <w:rsid w:val="007C2AC0"/>
    <w:rsid w:val="007C7E5B"/>
    <w:rsid w:val="007D3805"/>
    <w:rsid w:val="007D69F8"/>
    <w:rsid w:val="007E0A9A"/>
    <w:rsid w:val="007F0771"/>
    <w:rsid w:val="007F4053"/>
    <w:rsid w:val="007F7C05"/>
    <w:rsid w:val="008002D8"/>
    <w:rsid w:val="0080036C"/>
    <w:rsid w:val="00806D0D"/>
    <w:rsid w:val="00810DE1"/>
    <w:rsid w:val="00812CFE"/>
    <w:rsid w:val="00814ACB"/>
    <w:rsid w:val="0082180F"/>
    <w:rsid w:val="00842C30"/>
    <w:rsid w:val="00842F64"/>
    <w:rsid w:val="00843089"/>
    <w:rsid w:val="00857B5E"/>
    <w:rsid w:val="00885E16"/>
    <w:rsid w:val="008A633B"/>
    <w:rsid w:val="008A6382"/>
    <w:rsid w:val="008E136A"/>
    <w:rsid w:val="008E2ED2"/>
    <w:rsid w:val="008E335F"/>
    <w:rsid w:val="008F1AD6"/>
    <w:rsid w:val="008F55E1"/>
    <w:rsid w:val="00902FF3"/>
    <w:rsid w:val="00911E05"/>
    <w:rsid w:val="00920097"/>
    <w:rsid w:val="00921D74"/>
    <w:rsid w:val="00924D74"/>
    <w:rsid w:val="00937C2E"/>
    <w:rsid w:val="00941255"/>
    <w:rsid w:val="00946F37"/>
    <w:rsid w:val="00950910"/>
    <w:rsid w:val="00954618"/>
    <w:rsid w:val="0097270A"/>
    <w:rsid w:val="0097488E"/>
    <w:rsid w:val="009A233B"/>
    <w:rsid w:val="009B639E"/>
    <w:rsid w:val="009B6AEB"/>
    <w:rsid w:val="009C52D4"/>
    <w:rsid w:val="009D0F5A"/>
    <w:rsid w:val="009D476D"/>
    <w:rsid w:val="009E050A"/>
    <w:rsid w:val="009E7781"/>
    <w:rsid w:val="009F0861"/>
    <w:rsid w:val="009F367F"/>
    <w:rsid w:val="009F6180"/>
    <w:rsid w:val="00A25BA4"/>
    <w:rsid w:val="00A272ED"/>
    <w:rsid w:val="00A31F04"/>
    <w:rsid w:val="00A45ED3"/>
    <w:rsid w:val="00A46BBF"/>
    <w:rsid w:val="00A75C2F"/>
    <w:rsid w:val="00A80333"/>
    <w:rsid w:val="00A8074C"/>
    <w:rsid w:val="00A84DA2"/>
    <w:rsid w:val="00AA4DF4"/>
    <w:rsid w:val="00AA5535"/>
    <w:rsid w:val="00AB5697"/>
    <w:rsid w:val="00AB6B04"/>
    <w:rsid w:val="00AB7ACA"/>
    <w:rsid w:val="00AC0098"/>
    <w:rsid w:val="00AC6139"/>
    <w:rsid w:val="00AC68C1"/>
    <w:rsid w:val="00AD270D"/>
    <w:rsid w:val="00AD36AE"/>
    <w:rsid w:val="00AF2980"/>
    <w:rsid w:val="00AF677A"/>
    <w:rsid w:val="00B00FB2"/>
    <w:rsid w:val="00B15513"/>
    <w:rsid w:val="00B229CE"/>
    <w:rsid w:val="00B233BF"/>
    <w:rsid w:val="00B25F28"/>
    <w:rsid w:val="00B31725"/>
    <w:rsid w:val="00B33652"/>
    <w:rsid w:val="00B34912"/>
    <w:rsid w:val="00B41341"/>
    <w:rsid w:val="00B513AC"/>
    <w:rsid w:val="00B5444F"/>
    <w:rsid w:val="00B57D2B"/>
    <w:rsid w:val="00B700E2"/>
    <w:rsid w:val="00B71EA0"/>
    <w:rsid w:val="00B75403"/>
    <w:rsid w:val="00B75693"/>
    <w:rsid w:val="00B83F15"/>
    <w:rsid w:val="00B845B0"/>
    <w:rsid w:val="00B92DF1"/>
    <w:rsid w:val="00B9397E"/>
    <w:rsid w:val="00B976BB"/>
    <w:rsid w:val="00BA40CB"/>
    <w:rsid w:val="00BA4111"/>
    <w:rsid w:val="00BB4AAE"/>
    <w:rsid w:val="00BB6A21"/>
    <w:rsid w:val="00BC54D6"/>
    <w:rsid w:val="00BC594F"/>
    <w:rsid w:val="00BD24CF"/>
    <w:rsid w:val="00BD4ECB"/>
    <w:rsid w:val="00BE05E0"/>
    <w:rsid w:val="00BE3EBD"/>
    <w:rsid w:val="00BF0861"/>
    <w:rsid w:val="00BF4973"/>
    <w:rsid w:val="00BF76CD"/>
    <w:rsid w:val="00C04F7C"/>
    <w:rsid w:val="00C0509D"/>
    <w:rsid w:val="00C149F7"/>
    <w:rsid w:val="00C2409F"/>
    <w:rsid w:val="00C32589"/>
    <w:rsid w:val="00C36973"/>
    <w:rsid w:val="00C52045"/>
    <w:rsid w:val="00C60334"/>
    <w:rsid w:val="00C803FB"/>
    <w:rsid w:val="00CA2320"/>
    <w:rsid w:val="00CC6D63"/>
    <w:rsid w:val="00CD1C50"/>
    <w:rsid w:val="00CD775E"/>
    <w:rsid w:val="00CE3CDF"/>
    <w:rsid w:val="00CE739E"/>
    <w:rsid w:val="00CF3374"/>
    <w:rsid w:val="00CF4CE4"/>
    <w:rsid w:val="00CF7C1E"/>
    <w:rsid w:val="00D02BCE"/>
    <w:rsid w:val="00D0307B"/>
    <w:rsid w:val="00D07012"/>
    <w:rsid w:val="00D15602"/>
    <w:rsid w:val="00D15E02"/>
    <w:rsid w:val="00D16090"/>
    <w:rsid w:val="00D36684"/>
    <w:rsid w:val="00D44117"/>
    <w:rsid w:val="00D47A1A"/>
    <w:rsid w:val="00D55804"/>
    <w:rsid w:val="00D57C84"/>
    <w:rsid w:val="00D71AC8"/>
    <w:rsid w:val="00D72D15"/>
    <w:rsid w:val="00D747EA"/>
    <w:rsid w:val="00D84771"/>
    <w:rsid w:val="00D85B76"/>
    <w:rsid w:val="00D95CE3"/>
    <w:rsid w:val="00D9719C"/>
    <w:rsid w:val="00DA1F98"/>
    <w:rsid w:val="00DA604E"/>
    <w:rsid w:val="00DA7C36"/>
    <w:rsid w:val="00DC3FDD"/>
    <w:rsid w:val="00DD48D3"/>
    <w:rsid w:val="00DD5365"/>
    <w:rsid w:val="00DD658A"/>
    <w:rsid w:val="00DF1324"/>
    <w:rsid w:val="00DF57CA"/>
    <w:rsid w:val="00DF7793"/>
    <w:rsid w:val="00E01834"/>
    <w:rsid w:val="00E0608F"/>
    <w:rsid w:val="00E13934"/>
    <w:rsid w:val="00E15F51"/>
    <w:rsid w:val="00E2119B"/>
    <w:rsid w:val="00E260E4"/>
    <w:rsid w:val="00E36C04"/>
    <w:rsid w:val="00E61F8E"/>
    <w:rsid w:val="00E638A2"/>
    <w:rsid w:val="00E676AD"/>
    <w:rsid w:val="00E713D0"/>
    <w:rsid w:val="00E72896"/>
    <w:rsid w:val="00E73C00"/>
    <w:rsid w:val="00E76334"/>
    <w:rsid w:val="00E81803"/>
    <w:rsid w:val="00E87C1D"/>
    <w:rsid w:val="00E90E46"/>
    <w:rsid w:val="00EA3AAF"/>
    <w:rsid w:val="00EA723D"/>
    <w:rsid w:val="00ED0605"/>
    <w:rsid w:val="00ED40E1"/>
    <w:rsid w:val="00ED52E7"/>
    <w:rsid w:val="00EF3823"/>
    <w:rsid w:val="00F100BF"/>
    <w:rsid w:val="00F248AB"/>
    <w:rsid w:val="00F26777"/>
    <w:rsid w:val="00F30A5D"/>
    <w:rsid w:val="00F322B2"/>
    <w:rsid w:val="00F44C1A"/>
    <w:rsid w:val="00F54AB5"/>
    <w:rsid w:val="00F61781"/>
    <w:rsid w:val="00F641A3"/>
    <w:rsid w:val="00F81769"/>
    <w:rsid w:val="00F920C0"/>
    <w:rsid w:val="00F96F9B"/>
    <w:rsid w:val="00FB0082"/>
    <w:rsid w:val="00FB3C37"/>
    <w:rsid w:val="00FB626A"/>
    <w:rsid w:val="00FD0B89"/>
    <w:rsid w:val="00FD515C"/>
    <w:rsid w:val="00FD55FD"/>
    <w:rsid w:val="00FE18FC"/>
    <w:rsid w:val="00FE2225"/>
    <w:rsid w:val="00FF4278"/>
    <w:rsid w:val="00FF6441"/>
    <w:rsid w:val="00FF6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586B4A"/>
  <w15:chartTrackingRefBased/>
  <w15:docId w15:val="{9F833BC1-7752-4222-B37F-5AF3D15E6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2AC0"/>
    <w:pPr>
      <w:widowControl w:val="0"/>
      <w:spacing w:line="300" w:lineRule="auto"/>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318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63BB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63BB8"/>
    <w:rPr>
      <w:rFonts w:ascii="Times New Roman" w:eastAsia="宋体" w:hAnsi="Times New Roman"/>
      <w:sz w:val="18"/>
      <w:szCs w:val="18"/>
    </w:rPr>
  </w:style>
  <w:style w:type="paragraph" w:styleId="a6">
    <w:name w:val="footer"/>
    <w:basedOn w:val="a"/>
    <w:link w:val="a7"/>
    <w:uiPriority w:val="99"/>
    <w:unhideWhenUsed/>
    <w:rsid w:val="00163BB8"/>
    <w:pPr>
      <w:tabs>
        <w:tab w:val="center" w:pos="4153"/>
        <w:tab w:val="right" w:pos="8306"/>
      </w:tabs>
      <w:snapToGrid w:val="0"/>
      <w:jc w:val="left"/>
    </w:pPr>
    <w:rPr>
      <w:sz w:val="18"/>
      <w:szCs w:val="18"/>
    </w:rPr>
  </w:style>
  <w:style w:type="character" w:customStyle="1" w:styleId="a7">
    <w:name w:val="页脚 字符"/>
    <w:basedOn w:val="a0"/>
    <w:link w:val="a6"/>
    <w:uiPriority w:val="99"/>
    <w:rsid w:val="00163BB8"/>
    <w:rPr>
      <w:rFonts w:ascii="Times New Roman" w:eastAsia="宋体" w:hAnsi="Times New Roman"/>
      <w:sz w:val="18"/>
      <w:szCs w:val="18"/>
    </w:rPr>
  </w:style>
  <w:style w:type="paragraph" w:customStyle="1" w:styleId="EndNoteBibliographyTitle">
    <w:name w:val="EndNote Bibliography Title"/>
    <w:basedOn w:val="a"/>
    <w:link w:val="EndNoteBibliographyTitle0"/>
    <w:rsid w:val="00AD36AE"/>
    <w:pPr>
      <w:jc w:val="center"/>
    </w:pPr>
    <w:rPr>
      <w:rFonts w:cs="Times New Roman"/>
      <w:noProof/>
    </w:rPr>
  </w:style>
  <w:style w:type="character" w:customStyle="1" w:styleId="EndNoteBibliographyTitle0">
    <w:name w:val="EndNote Bibliography Title 字符"/>
    <w:basedOn w:val="a0"/>
    <w:link w:val="EndNoteBibliographyTitle"/>
    <w:rsid w:val="00AD36AE"/>
    <w:rPr>
      <w:rFonts w:ascii="Times New Roman" w:eastAsia="宋体" w:hAnsi="Times New Roman" w:cs="Times New Roman"/>
      <w:noProof/>
      <w:sz w:val="24"/>
    </w:rPr>
  </w:style>
  <w:style w:type="paragraph" w:customStyle="1" w:styleId="EndNoteBibliography">
    <w:name w:val="EndNote Bibliography"/>
    <w:basedOn w:val="a"/>
    <w:link w:val="EndNoteBibliography0"/>
    <w:rsid w:val="00AD36AE"/>
    <w:rPr>
      <w:rFonts w:cs="Times New Roman"/>
      <w:noProof/>
    </w:rPr>
  </w:style>
  <w:style w:type="character" w:customStyle="1" w:styleId="EndNoteBibliography0">
    <w:name w:val="EndNote Bibliography 字符"/>
    <w:basedOn w:val="a0"/>
    <w:link w:val="EndNoteBibliography"/>
    <w:rsid w:val="00AD36AE"/>
    <w:rPr>
      <w:rFonts w:ascii="Times New Roman" w:eastAsia="宋体" w:hAnsi="Times New Roman" w:cs="Times New Roman"/>
      <w:noProof/>
      <w:sz w:val="24"/>
    </w:rPr>
  </w:style>
  <w:style w:type="character" w:styleId="a8">
    <w:name w:val="Hyperlink"/>
    <w:basedOn w:val="a0"/>
    <w:uiPriority w:val="99"/>
    <w:unhideWhenUsed/>
    <w:rsid w:val="00F54AB5"/>
    <w:rPr>
      <w:color w:val="0000FF"/>
      <w:u w:val="single"/>
    </w:rPr>
  </w:style>
  <w:style w:type="character" w:customStyle="1" w:styleId="1">
    <w:name w:val="未处理的提及1"/>
    <w:basedOn w:val="a0"/>
    <w:uiPriority w:val="99"/>
    <w:semiHidden/>
    <w:unhideWhenUsed/>
    <w:rsid w:val="00E73C00"/>
    <w:rPr>
      <w:color w:val="605E5C"/>
      <w:shd w:val="clear" w:color="auto" w:fill="E1DFDD"/>
    </w:rPr>
  </w:style>
  <w:style w:type="paragraph" w:styleId="a9">
    <w:name w:val="footnote text"/>
    <w:basedOn w:val="a"/>
    <w:link w:val="aa"/>
    <w:uiPriority w:val="99"/>
    <w:semiHidden/>
    <w:unhideWhenUsed/>
    <w:rsid w:val="007F0771"/>
    <w:pPr>
      <w:snapToGrid w:val="0"/>
      <w:jc w:val="left"/>
    </w:pPr>
    <w:rPr>
      <w:sz w:val="18"/>
      <w:szCs w:val="18"/>
    </w:rPr>
  </w:style>
  <w:style w:type="character" w:customStyle="1" w:styleId="aa">
    <w:name w:val="脚注文本 字符"/>
    <w:basedOn w:val="a0"/>
    <w:link w:val="a9"/>
    <w:uiPriority w:val="99"/>
    <w:semiHidden/>
    <w:rsid w:val="007F0771"/>
    <w:rPr>
      <w:rFonts w:ascii="Times New Roman" w:eastAsia="宋体" w:hAnsi="Times New Roman"/>
      <w:sz w:val="18"/>
      <w:szCs w:val="18"/>
    </w:rPr>
  </w:style>
  <w:style w:type="character" w:styleId="ab">
    <w:name w:val="footnote reference"/>
    <w:basedOn w:val="a0"/>
    <w:uiPriority w:val="99"/>
    <w:semiHidden/>
    <w:unhideWhenUsed/>
    <w:rsid w:val="007F0771"/>
    <w:rPr>
      <w:vertAlign w:val="superscript"/>
    </w:rPr>
  </w:style>
  <w:style w:type="paragraph" w:styleId="ac">
    <w:name w:val="List Paragraph"/>
    <w:basedOn w:val="a"/>
    <w:uiPriority w:val="34"/>
    <w:qFormat/>
    <w:rsid w:val="00AB7ACA"/>
    <w:pPr>
      <w:ind w:firstLineChars="200" w:firstLine="420"/>
    </w:pPr>
  </w:style>
  <w:style w:type="character" w:styleId="ad">
    <w:name w:val="FollowedHyperlink"/>
    <w:basedOn w:val="a0"/>
    <w:uiPriority w:val="99"/>
    <w:semiHidden/>
    <w:unhideWhenUsed/>
    <w:rsid w:val="0017272D"/>
    <w:rPr>
      <w:color w:val="954F72" w:themeColor="followedHyperlink"/>
      <w:u w:val="single"/>
    </w:rPr>
  </w:style>
  <w:style w:type="paragraph" w:styleId="ae">
    <w:name w:val="Balloon Text"/>
    <w:basedOn w:val="a"/>
    <w:link w:val="af"/>
    <w:uiPriority w:val="99"/>
    <w:semiHidden/>
    <w:unhideWhenUsed/>
    <w:rsid w:val="007C2AC0"/>
    <w:rPr>
      <w:sz w:val="18"/>
      <w:szCs w:val="18"/>
    </w:rPr>
  </w:style>
  <w:style w:type="character" w:customStyle="1" w:styleId="af">
    <w:name w:val="批注框文本 字符"/>
    <w:basedOn w:val="a0"/>
    <w:link w:val="ae"/>
    <w:uiPriority w:val="99"/>
    <w:semiHidden/>
    <w:rsid w:val="007C2AC0"/>
    <w:rPr>
      <w:rFonts w:ascii="Times New Roman" w:eastAsia="宋体" w:hAnsi="Times New Roman"/>
      <w:sz w:val="18"/>
      <w:szCs w:val="18"/>
    </w:rPr>
  </w:style>
  <w:style w:type="character" w:customStyle="1" w:styleId="2">
    <w:name w:val="未处理的提及2"/>
    <w:basedOn w:val="a0"/>
    <w:uiPriority w:val="99"/>
    <w:semiHidden/>
    <w:unhideWhenUsed/>
    <w:rsid w:val="00371D80"/>
    <w:rPr>
      <w:color w:val="605E5C"/>
      <w:shd w:val="clear" w:color="auto" w:fill="E1DFDD"/>
    </w:rPr>
  </w:style>
  <w:style w:type="character" w:styleId="af0">
    <w:name w:val="Placeholder Text"/>
    <w:basedOn w:val="a0"/>
    <w:uiPriority w:val="99"/>
    <w:semiHidden/>
    <w:rsid w:val="00DD536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537919">
      <w:bodyDiv w:val="1"/>
      <w:marLeft w:val="0"/>
      <w:marRight w:val="0"/>
      <w:marTop w:val="0"/>
      <w:marBottom w:val="0"/>
      <w:divBdr>
        <w:top w:val="none" w:sz="0" w:space="0" w:color="auto"/>
        <w:left w:val="none" w:sz="0" w:space="0" w:color="auto"/>
        <w:bottom w:val="none" w:sz="0" w:space="0" w:color="auto"/>
        <w:right w:val="none" w:sz="0" w:space="0" w:color="auto"/>
      </w:divBdr>
    </w:div>
    <w:div w:id="825439174">
      <w:bodyDiv w:val="1"/>
      <w:marLeft w:val="0"/>
      <w:marRight w:val="0"/>
      <w:marTop w:val="0"/>
      <w:marBottom w:val="0"/>
      <w:divBdr>
        <w:top w:val="none" w:sz="0" w:space="0" w:color="auto"/>
        <w:left w:val="none" w:sz="0" w:space="0" w:color="auto"/>
        <w:bottom w:val="none" w:sz="0" w:space="0" w:color="auto"/>
        <w:right w:val="none" w:sz="0" w:space="0" w:color="auto"/>
      </w:divBdr>
    </w:div>
    <w:div w:id="1048183634">
      <w:bodyDiv w:val="1"/>
      <w:marLeft w:val="0"/>
      <w:marRight w:val="0"/>
      <w:marTop w:val="0"/>
      <w:marBottom w:val="0"/>
      <w:divBdr>
        <w:top w:val="none" w:sz="0" w:space="0" w:color="auto"/>
        <w:left w:val="none" w:sz="0" w:space="0" w:color="auto"/>
        <w:bottom w:val="none" w:sz="0" w:space="0" w:color="auto"/>
        <w:right w:val="none" w:sz="0" w:space="0" w:color="auto"/>
      </w:divBdr>
    </w:div>
    <w:div w:id="1952282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B6B85-FE93-453E-9876-250233796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1640</Words>
  <Characters>9349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王昊天</dc:creator>
  <cp:keywords/>
  <dc:description/>
  <cp:lastModifiedBy>Admin</cp:lastModifiedBy>
  <cp:revision>4</cp:revision>
  <cp:lastPrinted>2021-11-23T09:22:00Z</cp:lastPrinted>
  <dcterms:created xsi:type="dcterms:W3CDTF">2023-05-24T03:22:00Z</dcterms:created>
  <dcterms:modified xsi:type="dcterms:W3CDTF">2025-10-09T02:22:00Z</dcterms:modified>
</cp:coreProperties>
</file>